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56A7B">
      <w:pPr>
        <w:jc w:val="center"/>
        <w:rPr>
          <w:rFonts w:hint="eastAsia" w:asciiTheme="minorEastAsia" w:hAnsiTheme="minorEastAsia" w:eastAsiaTheme="minorEastAsia" w:cstheme="minorEastAsia"/>
          <w:b/>
          <w:bCs/>
          <w:sz w:val="30"/>
          <w:szCs w:val="30"/>
          <w:lang w:eastAsia="zh-CN"/>
        </w:rPr>
      </w:pPr>
      <w:bookmarkStart w:id="128" w:name="_GoBack"/>
      <w:bookmarkEnd w:id="128"/>
      <w:r>
        <w:rPr>
          <w:rFonts w:hint="eastAsia" w:asciiTheme="minorEastAsia" w:hAnsiTheme="minorEastAsia" w:cstheme="minorEastAsia"/>
          <w:b/>
          <w:bCs/>
          <w:sz w:val="30"/>
          <w:szCs w:val="30"/>
        </w:rPr>
        <w:t>福田区第二人民医院</w:t>
      </w:r>
      <w:r>
        <w:rPr>
          <w:rFonts w:hint="eastAsia" w:asciiTheme="minorEastAsia" w:hAnsiTheme="minorEastAsia" w:cstheme="minorEastAsia"/>
          <w:b/>
          <w:bCs/>
          <w:sz w:val="30"/>
          <w:szCs w:val="30"/>
          <w:lang w:val="en-US" w:eastAsia="zh-CN"/>
        </w:rPr>
        <w:t>医用</w:t>
      </w:r>
      <w:r>
        <w:rPr>
          <w:rFonts w:hint="eastAsia" w:asciiTheme="minorEastAsia" w:hAnsiTheme="minorEastAsia" w:cstheme="minorEastAsia"/>
          <w:b/>
          <w:bCs/>
          <w:sz w:val="30"/>
          <w:szCs w:val="30"/>
        </w:rPr>
        <w:t>耗材投标单位须知</w:t>
      </w:r>
      <w:r>
        <w:rPr>
          <w:rFonts w:hint="eastAsia" w:asciiTheme="minorEastAsia" w:hAnsiTheme="minorEastAsia" w:cstheme="minorEastAsia"/>
          <w:b/>
          <w:bCs/>
          <w:sz w:val="30"/>
          <w:szCs w:val="30"/>
          <w:lang w:eastAsia="zh-CN"/>
        </w:rPr>
        <w:t>（含征集文件）</w:t>
      </w:r>
    </w:p>
    <w:p w14:paraId="7BD398E4">
      <w:pPr>
        <w:jc w:val="center"/>
        <w:rPr>
          <w:rFonts w:asciiTheme="minorEastAsia" w:hAnsiTheme="minorEastAsia" w:cstheme="minorEastAsia"/>
          <w:b/>
          <w:bCs/>
          <w:sz w:val="24"/>
          <w:szCs w:val="24"/>
        </w:rPr>
      </w:pPr>
    </w:p>
    <w:p w14:paraId="6C55775F">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w:t>
      </w:r>
      <w:r>
        <w:rPr>
          <w:rFonts w:hint="eastAsia" w:asciiTheme="minorEastAsia" w:hAnsiTheme="minorEastAsia" w:cstheme="minorEastAsia"/>
          <w:sz w:val="28"/>
          <w:szCs w:val="28"/>
          <w:lang w:val="en-US" w:eastAsia="zh-CN"/>
        </w:rPr>
        <w:t>医用</w:t>
      </w:r>
      <w:r>
        <w:rPr>
          <w:rFonts w:hint="eastAsia" w:asciiTheme="minorEastAsia" w:hAnsiTheme="minorEastAsia" w:cstheme="minorEastAsia"/>
          <w:sz w:val="28"/>
          <w:szCs w:val="28"/>
        </w:rPr>
        <w:t>耗材进行公开</w:t>
      </w:r>
      <w:r>
        <w:rPr>
          <w:rFonts w:hint="eastAsia" w:asciiTheme="minorEastAsia" w:hAnsiTheme="minorEastAsia" w:cstheme="minorEastAsia"/>
          <w:sz w:val="28"/>
          <w:szCs w:val="28"/>
          <w:lang w:val="en-US" w:eastAsia="zh-CN"/>
        </w:rPr>
        <w:t>征集</w:t>
      </w:r>
      <w:r>
        <w:rPr>
          <w:rFonts w:hint="eastAsia" w:asciiTheme="minorEastAsia" w:hAnsiTheme="minorEastAsia" w:cstheme="minorEastAsia"/>
          <w:sz w:val="28"/>
          <w:szCs w:val="28"/>
        </w:rPr>
        <w:t xml:space="preserve">。欢迎各经营企业或生产企业参加投标。 </w:t>
      </w:r>
    </w:p>
    <w:p w14:paraId="04A80053">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2、供应商可根据自身的经营情况，选择投一个或多个采购条目，但不允许将一个采购条目流水</w:t>
      </w:r>
      <w:r>
        <w:rPr>
          <w:rFonts w:hint="eastAsia" w:asciiTheme="minorEastAsia" w:hAnsiTheme="minorEastAsia" w:cstheme="minorEastAsia"/>
          <w:color w:val="000000" w:themeColor="text1"/>
          <w:sz w:val="28"/>
          <w:szCs w:val="28"/>
          <w14:textFill>
            <w14:solidFill>
              <w14:schemeClr w14:val="tx1"/>
            </w14:solidFill>
          </w14:textFill>
        </w:rPr>
        <w:t>号的内容拆散</w:t>
      </w:r>
      <w:r>
        <w:rPr>
          <w:rFonts w:hint="eastAsia" w:asciiTheme="minorEastAsia" w:hAnsiTheme="minorEastAsia" w:cstheme="minorEastAsia"/>
          <w:color w:val="000000" w:themeColor="text1"/>
          <w:sz w:val="28"/>
          <w:szCs w:val="28"/>
          <w:lang w:eastAsia="zh-CN"/>
          <w14:textFill>
            <w14:solidFill>
              <w14:schemeClr w14:val="tx1"/>
            </w14:solidFill>
          </w14:textFill>
        </w:rPr>
        <w:t>投标</w:t>
      </w:r>
      <w:r>
        <w:rPr>
          <w:rFonts w:hint="eastAsia" w:asciiTheme="minorEastAsia" w:hAnsiTheme="minorEastAsia" w:cstheme="minorEastAsia"/>
          <w:sz w:val="28"/>
          <w:szCs w:val="28"/>
        </w:rPr>
        <w:t>。</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302747D9">
      <w:pPr>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企业参加投标，即表示接受本次</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 xml:space="preserve">的各项要求。 </w:t>
      </w:r>
    </w:p>
    <w:p w14:paraId="5D68254F">
      <w:pPr>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 xml:space="preserve">活动的最终解释权属于深圳市福田区第二人民医院。 </w:t>
      </w:r>
    </w:p>
    <w:p w14:paraId="4A92FBAC">
      <w:pPr>
        <w:rPr>
          <w:rFonts w:hint="eastAsia" w:asciiTheme="minorEastAsia" w:hAnsiTheme="minorEastAsia" w:cstheme="minorEastAsia"/>
          <w:sz w:val="24"/>
          <w:szCs w:val="24"/>
          <w:lang w:eastAsia="zh-CN"/>
        </w:rPr>
      </w:pPr>
    </w:p>
    <w:p w14:paraId="296A6A50">
      <w:pPr>
        <w:rPr>
          <w:rFonts w:hint="eastAsia" w:asciiTheme="minorEastAsia" w:hAnsiTheme="minorEastAsia" w:cstheme="minorEastAsia"/>
          <w:sz w:val="24"/>
          <w:szCs w:val="24"/>
          <w:lang w:eastAsia="zh-CN"/>
        </w:rPr>
      </w:pPr>
    </w:p>
    <w:p w14:paraId="727F6233">
      <w:pPr>
        <w:keepNext/>
        <w:keepLines/>
        <w:widowControl w:val="0"/>
        <w:spacing w:line="576" w:lineRule="auto"/>
        <w:jc w:val="both"/>
        <w:outlineLvl w:val="9"/>
        <w:rPr>
          <w:rFonts w:hint="eastAsia" w:asciiTheme="minorEastAsia" w:hAnsiTheme="minorEastAsia" w:eastAsiaTheme="minorEastAsia" w:cstheme="minorEastAsia"/>
          <w:b/>
          <w:kern w:val="44"/>
          <w:sz w:val="24"/>
          <w:szCs w:val="24"/>
          <w:lang w:val="en-US" w:eastAsia="zh-CN" w:bidi="ar-SA"/>
        </w:rPr>
      </w:pPr>
    </w:p>
    <w:p w14:paraId="01B1F165">
      <w:pPr>
        <w:rPr>
          <w:rFonts w:hint="eastAsia"/>
          <w:lang w:eastAsia="zh-CN"/>
        </w:rPr>
      </w:pPr>
    </w:p>
    <w:p w14:paraId="708A9130">
      <w:pPr>
        <w:rPr>
          <w:rFonts w:hint="eastAsia" w:asciiTheme="minorEastAsia" w:hAnsiTheme="minorEastAsia" w:cstheme="minorEastAsia"/>
          <w:sz w:val="24"/>
          <w:szCs w:val="24"/>
          <w:lang w:eastAsia="zh-CN"/>
        </w:rPr>
      </w:pPr>
    </w:p>
    <w:p w14:paraId="4FB5BD99">
      <w:pPr>
        <w:jc w:val="both"/>
        <w:outlineLvl w:val="9"/>
        <w:rPr>
          <w:rFonts w:hint="eastAsia" w:ascii="宋体" w:hAnsi="宋体" w:eastAsia="宋体" w:cs="宋体"/>
          <w:b/>
          <w:bCs/>
          <w:color w:val="FF0000"/>
          <w:kern w:val="44"/>
          <w:sz w:val="44"/>
          <w:szCs w:val="44"/>
          <w:highlight w:val="none"/>
          <w:lang w:eastAsia="zh-CN"/>
        </w:rPr>
      </w:pPr>
      <w:bookmarkStart w:id="0" w:name="_Toc3689"/>
      <w:bookmarkStart w:id="1" w:name="_Toc29098"/>
    </w:p>
    <w:p w14:paraId="29B76CDB">
      <w:pPr>
        <w:jc w:val="both"/>
        <w:outlineLvl w:val="9"/>
        <w:rPr>
          <w:rFonts w:hint="eastAsia" w:ascii="宋体" w:hAnsi="宋体" w:eastAsia="宋体" w:cs="宋体"/>
          <w:b/>
          <w:bCs/>
          <w:color w:val="FF0000"/>
          <w:kern w:val="44"/>
          <w:sz w:val="44"/>
          <w:szCs w:val="44"/>
          <w:highlight w:val="none"/>
          <w:lang w:eastAsia="zh-CN"/>
        </w:rPr>
      </w:pPr>
    </w:p>
    <w:p w14:paraId="2E7847CA">
      <w:pPr>
        <w:jc w:val="both"/>
        <w:outlineLvl w:val="9"/>
        <w:rPr>
          <w:rFonts w:hint="eastAsia" w:ascii="宋体" w:hAnsi="宋体" w:eastAsia="宋体" w:cs="宋体"/>
          <w:b/>
          <w:bCs/>
          <w:color w:val="FF0000"/>
          <w:kern w:val="44"/>
          <w:sz w:val="44"/>
          <w:szCs w:val="44"/>
          <w:highlight w:val="none"/>
          <w:lang w:eastAsia="zh-CN"/>
        </w:rPr>
      </w:pPr>
    </w:p>
    <w:p w14:paraId="6D00F332">
      <w:pPr>
        <w:jc w:val="both"/>
        <w:outlineLvl w:val="9"/>
        <w:rPr>
          <w:rFonts w:hint="eastAsia" w:ascii="宋体" w:hAnsi="宋体" w:eastAsia="宋体" w:cs="宋体"/>
          <w:b/>
          <w:bCs/>
          <w:color w:val="FF0000"/>
          <w:kern w:val="44"/>
          <w:sz w:val="44"/>
          <w:szCs w:val="44"/>
          <w:highlight w:val="none"/>
          <w:lang w:eastAsia="zh-CN"/>
        </w:rPr>
      </w:pPr>
    </w:p>
    <w:p w14:paraId="18C9C6E7">
      <w:pPr>
        <w:jc w:val="both"/>
        <w:outlineLvl w:val="9"/>
        <w:rPr>
          <w:rFonts w:hint="eastAsia" w:ascii="宋体" w:hAnsi="宋体" w:eastAsia="宋体" w:cs="宋体"/>
          <w:b/>
          <w:bCs/>
          <w:color w:val="FF0000"/>
          <w:kern w:val="44"/>
          <w:sz w:val="44"/>
          <w:szCs w:val="44"/>
          <w:highlight w:val="none"/>
          <w:lang w:eastAsia="zh-CN"/>
        </w:rPr>
      </w:pPr>
    </w:p>
    <w:p w14:paraId="49E159DE">
      <w:pPr>
        <w:jc w:val="both"/>
        <w:outlineLvl w:val="9"/>
        <w:rPr>
          <w:rFonts w:hint="eastAsia" w:ascii="宋体" w:hAnsi="宋体" w:eastAsia="宋体" w:cs="宋体"/>
          <w:b/>
          <w:bCs/>
          <w:color w:val="FF0000"/>
          <w:kern w:val="44"/>
          <w:sz w:val="44"/>
          <w:szCs w:val="44"/>
          <w:highlight w:val="none"/>
          <w:lang w:eastAsia="zh-CN"/>
        </w:rPr>
      </w:pPr>
    </w:p>
    <w:p w14:paraId="31D8CC5B">
      <w:pPr>
        <w:jc w:val="both"/>
        <w:outlineLvl w:val="9"/>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7FD0EBF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10CE5CE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52033465">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68E9C33">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326C15B">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BB03164">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75752CCB">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BF359AC">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0E97F3C4">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项目内或所投包号内有多项报价内容的，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文件为准）</w:t>
      </w:r>
    </w:p>
    <w:p w14:paraId="16CAAC3F">
      <w:pPr>
        <w:rPr>
          <w:rFonts w:hint="eastAsia" w:asciiTheme="minorEastAsia" w:hAnsiTheme="minorEastAsia" w:cstheme="minorEastAsia"/>
          <w:szCs w:val="21"/>
        </w:rPr>
      </w:pPr>
    </w:p>
    <w:p w14:paraId="5DBC7F84">
      <w:pPr>
        <w:rPr>
          <w:rFonts w:hint="eastAsia" w:asciiTheme="minorEastAsia" w:hAnsiTheme="minorEastAsia" w:cstheme="minorEastAsia"/>
          <w:b/>
          <w:bCs/>
          <w:sz w:val="28"/>
          <w:szCs w:val="28"/>
          <w:lang w:eastAsia="zh-CN"/>
        </w:rPr>
      </w:pPr>
    </w:p>
    <w:p w14:paraId="01EB65D9">
      <w:pPr>
        <w:rPr>
          <w:rFonts w:hint="eastAsia" w:asciiTheme="minorEastAsia" w:hAnsiTheme="minorEastAsia" w:cstheme="minorEastAsia"/>
          <w:b/>
          <w:bCs/>
          <w:sz w:val="28"/>
          <w:szCs w:val="28"/>
          <w:lang w:eastAsia="zh-CN"/>
        </w:rPr>
      </w:pPr>
    </w:p>
    <w:p w14:paraId="77F281EC">
      <w:pPr>
        <w:rPr>
          <w:rFonts w:hint="eastAsia" w:asciiTheme="minorEastAsia" w:hAnsiTheme="minorEastAsia" w:cstheme="minorEastAsia"/>
          <w:b/>
          <w:bCs/>
          <w:sz w:val="28"/>
          <w:szCs w:val="28"/>
          <w:lang w:eastAsia="zh-CN"/>
        </w:rPr>
      </w:pPr>
    </w:p>
    <w:p w14:paraId="3A3BFB18">
      <w:pPr>
        <w:rPr>
          <w:rFonts w:hint="eastAsia" w:asciiTheme="minorEastAsia" w:hAnsiTheme="minorEastAsia" w:cstheme="minorEastAsia"/>
          <w:b/>
          <w:bCs/>
          <w:sz w:val="28"/>
          <w:szCs w:val="28"/>
          <w:lang w:eastAsia="zh-CN"/>
        </w:rPr>
      </w:pPr>
    </w:p>
    <w:p w14:paraId="2D2B848F">
      <w:pPr>
        <w:rPr>
          <w:rFonts w:hint="eastAsia" w:asciiTheme="minorEastAsia" w:hAnsiTheme="minorEastAsia" w:cstheme="minorEastAsia"/>
          <w:b/>
          <w:bCs/>
          <w:sz w:val="28"/>
          <w:szCs w:val="28"/>
          <w:lang w:eastAsia="zh-CN"/>
        </w:rPr>
      </w:pPr>
    </w:p>
    <w:p w14:paraId="1D345081">
      <w:pPr>
        <w:rPr>
          <w:rFonts w:hint="eastAsia" w:asciiTheme="minorEastAsia" w:hAnsiTheme="minorEastAsia" w:cstheme="minorEastAsia"/>
          <w:b/>
          <w:bCs/>
          <w:sz w:val="28"/>
          <w:szCs w:val="28"/>
          <w:lang w:eastAsia="zh-CN"/>
        </w:rPr>
      </w:pPr>
    </w:p>
    <w:p w14:paraId="23064BB5">
      <w:pPr>
        <w:rPr>
          <w:rFonts w:hint="eastAsia" w:asciiTheme="minorEastAsia" w:hAnsiTheme="minorEastAsia" w:cstheme="minorEastAsia"/>
          <w:b/>
          <w:bCs/>
          <w:sz w:val="28"/>
          <w:szCs w:val="28"/>
          <w:lang w:eastAsia="zh-CN"/>
        </w:rPr>
      </w:pPr>
    </w:p>
    <w:p w14:paraId="06C79F49">
      <w:pPr>
        <w:rPr>
          <w:rFonts w:hint="eastAsia" w:asciiTheme="minorEastAsia" w:hAnsiTheme="minorEastAsia" w:cstheme="minorEastAsia"/>
          <w:b/>
          <w:bCs/>
          <w:sz w:val="28"/>
          <w:szCs w:val="28"/>
          <w:lang w:eastAsia="zh-CN"/>
        </w:rPr>
      </w:pPr>
    </w:p>
    <w:p w14:paraId="4634AAD6">
      <w:pPr>
        <w:rPr>
          <w:rFonts w:hint="eastAsia" w:asciiTheme="minorEastAsia" w:hAnsiTheme="minorEastAsia" w:cstheme="minorEastAsia"/>
          <w:b/>
          <w:bCs/>
          <w:sz w:val="28"/>
          <w:szCs w:val="28"/>
          <w:lang w:eastAsia="zh-CN"/>
        </w:rPr>
      </w:pPr>
    </w:p>
    <w:p w14:paraId="031E49A4">
      <w:pPr>
        <w:rPr>
          <w:rFonts w:hint="eastAsia" w:asciiTheme="minorEastAsia" w:hAnsiTheme="minorEastAsia" w:cstheme="minorEastAsia"/>
          <w:b/>
          <w:bCs/>
          <w:sz w:val="28"/>
          <w:szCs w:val="28"/>
          <w:lang w:eastAsia="zh-CN"/>
        </w:rPr>
      </w:pPr>
    </w:p>
    <w:p w14:paraId="31AED3E0">
      <w:pPr>
        <w:rPr>
          <w:rFonts w:hint="eastAsia" w:asciiTheme="minorEastAsia" w:hAnsiTheme="minorEastAsia" w:cstheme="minorEastAsia"/>
          <w:b/>
          <w:bCs/>
          <w:sz w:val="28"/>
          <w:szCs w:val="28"/>
          <w:lang w:eastAsia="zh-CN"/>
        </w:rPr>
      </w:pPr>
    </w:p>
    <w:p w14:paraId="5651AF19">
      <w:pPr>
        <w:rPr>
          <w:rFonts w:hint="eastAsia" w:asciiTheme="minorEastAsia" w:hAnsiTheme="minorEastAsia" w:cstheme="minorEastAsia"/>
          <w:b/>
          <w:bCs/>
          <w:sz w:val="28"/>
          <w:szCs w:val="28"/>
          <w:lang w:eastAsia="zh-CN"/>
        </w:rPr>
      </w:pPr>
    </w:p>
    <w:p w14:paraId="49152C6C">
      <w:pPr>
        <w:rPr>
          <w:rFonts w:hint="eastAsia" w:asciiTheme="minorEastAsia" w:hAnsiTheme="minorEastAsia" w:eastAsiaTheme="minorEastAsia" w:cstheme="minorEastAsia"/>
          <w:bCs/>
          <w:kern w:val="2"/>
          <w:sz w:val="21"/>
          <w:szCs w:val="28"/>
          <w:lang w:val="en-US" w:eastAsia="zh-CN" w:bidi="ar-SA"/>
        </w:rPr>
      </w:pPr>
    </w:p>
    <w:sdt>
      <w:sdtPr>
        <w:rPr>
          <w:rFonts w:ascii="宋体" w:hAnsi="宋体" w:eastAsia="宋体" w:cstheme="minorBidi"/>
          <w:kern w:val="2"/>
          <w:sz w:val="21"/>
          <w:szCs w:val="24"/>
          <w:lang w:val="en-US" w:eastAsia="zh-CN" w:bidi="ar-SA"/>
        </w:rPr>
        <w:id w:val="147453461"/>
        <w15:color w:val="DBDBDB"/>
        <w:docPartObj>
          <w:docPartGallery w:val="Table of Contents"/>
          <w:docPartUnique/>
        </w:docPartObj>
      </w:sdtPr>
      <w:sdtEndPr>
        <w:rPr>
          <w:rFonts w:hint="eastAsia" w:asciiTheme="minorEastAsia" w:hAnsiTheme="minorEastAsia" w:eastAsiaTheme="minorEastAsia" w:cstheme="minorEastAsia"/>
          <w:bCs/>
          <w:kern w:val="2"/>
          <w:sz w:val="21"/>
          <w:szCs w:val="28"/>
          <w:lang w:val="en-US" w:eastAsia="zh-CN" w:bidi="ar-SA"/>
        </w:rPr>
      </w:sdtEndPr>
      <w:sdtContent>
        <w:p w14:paraId="0A9FF65E">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37CCAAA0">
          <w:pPr>
            <w:spacing w:before="0" w:beforeLines="0" w:after="0" w:afterLines="0" w:line="240" w:lineRule="auto"/>
            <w:ind w:left="0" w:leftChars="0" w:right="0" w:rightChars="0" w:firstLine="0" w:firstLineChars="0"/>
            <w:jc w:val="center"/>
            <w:rPr>
              <w:sz w:val="48"/>
              <w:szCs w:val="56"/>
            </w:rPr>
          </w:pPr>
          <w:r>
            <w:rPr>
              <w:rFonts w:ascii="宋体" w:hAnsi="宋体" w:eastAsia="宋体"/>
              <w:sz w:val="48"/>
              <w:szCs w:val="56"/>
            </w:rPr>
            <w:t>目</w:t>
          </w:r>
          <w:r>
            <w:rPr>
              <w:rFonts w:hint="eastAsia" w:ascii="宋体" w:hAnsi="宋体" w:eastAsia="宋体"/>
              <w:sz w:val="48"/>
              <w:szCs w:val="56"/>
              <w:lang w:val="en-US" w:eastAsia="zh-CN"/>
            </w:rPr>
            <w:t xml:space="preserve"> </w:t>
          </w:r>
          <w:r>
            <w:rPr>
              <w:rFonts w:ascii="宋体" w:hAnsi="宋体" w:eastAsia="宋体"/>
              <w:sz w:val="48"/>
              <w:szCs w:val="56"/>
            </w:rPr>
            <w:t>录</w:t>
          </w:r>
        </w:p>
        <w:p w14:paraId="4646880C">
          <w:pPr>
            <w:pStyle w:val="13"/>
            <w:tabs>
              <w:tab w:val="right" w:leader="dot" w:pos="9180"/>
            </w:tabs>
            <w:rPr>
              <w:sz w:val="36"/>
              <w:szCs w:val="44"/>
            </w:rPr>
          </w:pPr>
          <w:r>
            <w:rPr>
              <w:rFonts w:hint="eastAsia" w:asciiTheme="minorEastAsia" w:hAnsiTheme="minorEastAsia" w:eastAsiaTheme="minorEastAsia" w:cstheme="minorEastAsia"/>
              <w:bCs/>
              <w:kern w:val="2"/>
              <w:sz w:val="21"/>
              <w:szCs w:val="28"/>
              <w:lang w:val="en-US" w:eastAsia="zh-CN" w:bidi="ar-SA"/>
            </w:rPr>
            <w:fldChar w:fldCharType="begin"/>
          </w:r>
          <w:r>
            <w:rPr>
              <w:rFonts w:hint="eastAsia" w:asciiTheme="minorEastAsia" w:hAnsiTheme="minorEastAsia" w:eastAsiaTheme="minorEastAsia" w:cstheme="minorEastAsia"/>
              <w:bCs/>
              <w:kern w:val="2"/>
              <w:sz w:val="21"/>
              <w:szCs w:val="28"/>
              <w:lang w:val="en-US" w:eastAsia="zh-CN" w:bidi="ar-SA"/>
            </w:rPr>
            <w:instrText xml:space="preserve">TOC \o "1-3" \h \u </w:instrText>
          </w:r>
          <w:r>
            <w:rPr>
              <w:rFonts w:hint="eastAsia" w:asciiTheme="minorEastAsia" w:hAnsiTheme="minorEastAsia" w:eastAsiaTheme="minorEastAsia" w:cstheme="minorEastAsia"/>
              <w:bCs/>
              <w:kern w:val="2"/>
              <w:sz w:val="21"/>
              <w:szCs w:val="28"/>
              <w:lang w:val="en-US" w:eastAsia="zh-CN" w:bidi="ar-SA"/>
            </w:rPr>
            <w:fldChar w:fldCharType="separate"/>
          </w: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_Toc11375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第一章 征集公告</w:t>
          </w:r>
          <w:r>
            <w:rPr>
              <w:sz w:val="36"/>
              <w:szCs w:val="44"/>
            </w:rPr>
            <w:tab/>
          </w:r>
          <w:r>
            <w:rPr>
              <w:sz w:val="36"/>
              <w:szCs w:val="44"/>
            </w:rPr>
            <w:fldChar w:fldCharType="begin"/>
          </w:r>
          <w:r>
            <w:rPr>
              <w:sz w:val="36"/>
              <w:szCs w:val="44"/>
            </w:rPr>
            <w:instrText xml:space="preserve"> PAGEREF _Toc11375 \h </w:instrText>
          </w:r>
          <w:r>
            <w:rPr>
              <w:sz w:val="36"/>
              <w:szCs w:val="44"/>
            </w:rPr>
            <w:fldChar w:fldCharType="separate"/>
          </w:r>
          <w:r>
            <w:rPr>
              <w:sz w:val="36"/>
              <w:szCs w:val="44"/>
            </w:rPr>
            <w:t>8</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7D1AC779">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_Toc24468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第二章 用户需求书</w:t>
          </w:r>
          <w:r>
            <w:rPr>
              <w:sz w:val="36"/>
              <w:szCs w:val="44"/>
            </w:rPr>
            <w:tab/>
          </w:r>
          <w:r>
            <w:rPr>
              <w:sz w:val="36"/>
              <w:szCs w:val="44"/>
            </w:rPr>
            <w:fldChar w:fldCharType="begin"/>
          </w:r>
          <w:r>
            <w:rPr>
              <w:sz w:val="36"/>
              <w:szCs w:val="44"/>
            </w:rPr>
            <w:instrText xml:space="preserve"> PAGEREF _Toc24468 \h </w:instrText>
          </w:r>
          <w:r>
            <w:rPr>
              <w:sz w:val="36"/>
              <w:szCs w:val="44"/>
            </w:rPr>
            <w:fldChar w:fldCharType="separate"/>
          </w:r>
          <w:r>
            <w:rPr>
              <w:sz w:val="36"/>
              <w:szCs w:val="44"/>
            </w:rPr>
            <w:t>10</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6A6F29F6">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_Toc16150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第三章 </w:t>
          </w:r>
          <w:r>
            <w:rPr>
              <w:rFonts w:hint="eastAsia" w:asciiTheme="majorEastAsia" w:hAnsiTheme="majorEastAsia" w:eastAsiaTheme="majorEastAsia" w:cstheme="majorEastAsia"/>
              <w:sz w:val="36"/>
              <w:szCs w:val="52"/>
            </w:rPr>
            <w:t>开标、评标、定标</w:t>
          </w:r>
          <w:r>
            <w:rPr>
              <w:sz w:val="36"/>
              <w:szCs w:val="44"/>
            </w:rPr>
            <w:tab/>
          </w:r>
          <w:r>
            <w:rPr>
              <w:sz w:val="36"/>
              <w:szCs w:val="44"/>
            </w:rPr>
            <w:fldChar w:fldCharType="begin"/>
          </w:r>
          <w:r>
            <w:rPr>
              <w:sz w:val="36"/>
              <w:szCs w:val="44"/>
            </w:rPr>
            <w:instrText xml:space="preserve"> PAGEREF _Toc16150 \h </w:instrText>
          </w:r>
          <w:r>
            <w:rPr>
              <w:sz w:val="36"/>
              <w:szCs w:val="44"/>
            </w:rPr>
            <w:fldChar w:fldCharType="separate"/>
          </w:r>
          <w:r>
            <w:rPr>
              <w:sz w:val="36"/>
              <w:szCs w:val="44"/>
            </w:rPr>
            <w:t>17</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476DE052">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_Toc26388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 xml:space="preserve">第四章 </w:t>
          </w:r>
          <w:r>
            <w:rPr>
              <w:rFonts w:hint="eastAsia" w:asciiTheme="majorEastAsia" w:hAnsiTheme="majorEastAsia" w:eastAsiaTheme="majorEastAsia"/>
              <w:sz w:val="36"/>
              <w:szCs w:val="52"/>
            </w:rPr>
            <w:t>投标文件</w:t>
          </w:r>
          <w:r>
            <w:rPr>
              <w:rFonts w:hint="eastAsia" w:asciiTheme="majorEastAsia" w:hAnsiTheme="majorEastAsia" w:eastAsiaTheme="majorEastAsia"/>
              <w:sz w:val="36"/>
              <w:szCs w:val="52"/>
              <w:lang w:eastAsia="zh-CN"/>
            </w:rPr>
            <w:t>（</w:t>
          </w:r>
          <w:r>
            <w:rPr>
              <w:rFonts w:hint="eastAsia" w:asciiTheme="majorEastAsia" w:hAnsiTheme="majorEastAsia" w:eastAsiaTheme="majorEastAsia"/>
              <w:sz w:val="36"/>
              <w:szCs w:val="52"/>
              <w:lang w:val="en-US" w:eastAsia="zh-CN"/>
            </w:rPr>
            <w:t>编制</w:t>
          </w:r>
          <w:r>
            <w:rPr>
              <w:rFonts w:hint="eastAsia" w:asciiTheme="majorEastAsia" w:hAnsiTheme="majorEastAsia" w:eastAsiaTheme="majorEastAsia"/>
              <w:sz w:val="36"/>
              <w:szCs w:val="52"/>
            </w:rPr>
            <w:t>参考</w:t>
          </w:r>
          <w:r>
            <w:rPr>
              <w:rFonts w:hint="eastAsia" w:asciiTheme="majorEastAsia" w:hAnsiTheme="majorEastAsia" w:eastAsiaTheme="majorEastAsia"/>
              <w:sz w:val="36"/>
              <w:szCs w:val="52"/>
              <w:lang w:val="en-US" w:eastAsia="zh-CN"/>
            </w:rPr>
            <w:t>模板</w:t>
          </w:r>
          <w:r>
            <w:rPr>
              <w:rFonts w:hint="eastAsia" w:asciiTheme="majorEastAsia" w:hAnsiTheme="majorEastAsia" w:eastAsiaTheme="majorEastAsia"/>
              <w:sz w:val="36"/>
              <w:szCs w:val="52"/>
              <w:lang w:eastAsia="zh-CN"/>
            </w:rPr>
            <w:t>）</w:t>
          </w:r>
          <w:r>
            <w:rPr>
              <w:sz w:val="36"/>
              <w:szCs w:val="44"/>
            </w:rPr>
            <w:tab/>
          </w:r>
          <w:r>
            <w:rPr>
              <w:sz w:val="36"/>
              <w:szCs w:val="44"/>
            </w:rPr>
            <w:fldChar w:fldCharType="begin"/>
          </w:r>
          <w:r>
            <w:rPr>
              <w:sz w:val="36"/>
              <w:szCs w:val="44"/>
            </w:rPr>
            <w:instrText xml:space="preserve"> PAGEREF _Toc26388 \h </w:instrText>
          </w:r>
          <w:r>
            <w:rPr>
              <w:sz w:val="36"/>
              <w:szCs w:val="44"/>
            </w:rPr>
            <w:fldChar w:fldCharType="separate"/>
          </w:r>
          <w:r>
            <w:rPr>
              <w:sz w:val="36"/>
              <w:szCs w:val="44"/>
            </w:rPr>
            <w:t>24</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233514D0">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_Toc30434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 xml:space="preserve">第五章 </w:t>
          </w:r>
          <w:r>
            <w:rPr>
              <w:rFonts w:asciiTheme="majorEastAsia" w:hAnsiTheme="majorEastAsia" w:eastAsiaTheme="majorEastAsia"/>
              <w:sz w:val="36"/>
              <w:szCs w:val="52"/>
              <w:lang w:eastAsia="zh-TW"/>
            </w:rPr>
            <w:t>说 明</w:t>
          </w:r>
          <w:r>
            <w:rPr>
              <w:sz w:val="36"/>
              <w:szCs w:val="44"/>
            </w:rPr>
            <w:tab/>
          </w:r>
          <w:r>
            <w:rPr>
              <w:sz w:val="36"/>
              <w:szCs w:val="44"/>
            </w:rPr>
            <w:fldChar w:fldCharType="begin"/>
          </w:r>
          <w:r>
            <w:rPr>
              <w:sz w:val="36"/>
              <w:szCs w:val="44"/>
            </w:rPr>
            <w:instrText xml:space="preserve"> PAGEREF _Toc30434 \h </w:instrText>
          </w:r>
          <w:r>
            <w:rPr>
              <w:sz w:val="36"/>
              <w:szCs w:val="44"/>
            </w:rPr>
            <w:fldChar w:fldCharType="separate"/>
          </w:r>
          <w:r>
            <w:rPr>
              <w:sz w:val="36"/>
              <w:szCs w:val="44"/>
            </w:rPr>
            <w:t>59</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312037C6">
          <w:pPr>
            <w:pStyle w:val="13"/>
            <w:tabs>
              <w:tab w:val="right" w:leader="dot" w:pos="9180"/>
            </w:tabs>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_Toc7020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宋体" w:hAnsi="宋体" w:cs="宋体"/>
              <w:bCs w:val="0"/>
              <w:sz w:val="36"/>
              <w:szCs w:val="52"/>
              <w:lang w:val="en-US" w:eastAsia="zh-CN"/>
            </w:rPr>
            <w:t xml:space="preserve">第六章 </w:t>
          </w:r>
          <w:r>
            <w:rPr>
              <w:rFonts w:hint="eastAsia" w:cstheme="minorBidi"/>
              <w:bCs w:val="0"/>
              <w:kern w:val="2"/>
              <w:sz w:val="36"/>
              <w:szCs w:val="52"/>
              <w:lang w:val="en-US" w:eastAsia="zh-CN" w:bidi="ar-SA"/>
            </w:rPr>
            <w:t>综合评分表</w:t>
          </w:r>
          <w:r>
            <w:rPr>
              <w:sz w:val="36"/>
              <w:szCs w:val="44"/>
            </w:rPr>
            <w:tab/>
          </w:r>
          <w:r>
            <w:rPr>
              <w:sz w:val="36"/>
              <w:szCs w:val="44"/>
            </w:rPr>
            <w:fldChar w:fldCharType="begin"/>
          </w:r>
          <w:r>
            <w:rPr>
              <w:sz w:val="36"/>
              <w:szCs w:val="44"/>
            </w:rPr>
            <w:instrText xml:space="preserve"> PAGEREF _Toc7020 \h </w:instrText>
          </w:r>
          <w:r>
            <w:rPr>
              <w:sz w:val="36"/>
              <w:szCs w:val="44"/>
            </w:rPr>
            <w:fldChar w:fldCharType="separate"/>
          </w:r>
          <w:r>
            <w:rPr>
              <w:sz w:val="36"/>
              <w:szCs w:val="44"/>
            </w:rPr>
            <w:t>88</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39B5DC3E">
          <w:pPr>
            <w:rPr>
              <w:rFonts w:hint="eastAsia" w:asciiTheme="minorEastAsia" w:hAnsiTheme="minorEastAsia" w:eastAsiaTheme="minorEastAsia" w:cstheme="minorEastAsia"/>
              <w:bCs/>
              <w:kern w:val="2"/>
              <w:sz w:val="21"/>
              <w:szCs w:val="28"/>
              <w:lang w:val="en-US" w:eastAsia="zh-CN" w:bidi="ar-SA"/>
            </w:rPr>
          </w:pPr>
          <w:r>
            <w:rPr>
              <w:rFonts w:hint="eastAsia" w:asciiTheme="minorEastAsia" w:hAnsiTheme="minorEastAsia" w:eastAsiaTheme="minorEastAsia" w:cstheme="minorEastAsia"/>
              <w:bCs/>
              <w:kern w:val="2"/>
              <w:szCs w:val="28"/>
              <w:lang w:val="en-US" w:eastAsia="zh-CN" w:bidi="ar-SA"/>
            </w:rPr>
            <w:fldChar w:fldCharType="end"/>
          </w:r>
        </w:p>
      </w:sdtContent>
    </w:sdt>
    <w:p w14:paraId="21CE26D5">
      <w:pPr>
        <w:rPr>
          <w:rFonts w:hint="eastAsia" w:asciiTheme="minorEastAsia" w:hAnsiTheme="minorEastAsia" w:eastAsiaTheme="minorEastAsia" w:cstheme="minorEastAsia"/>
          <w:bCs/>
          <w:kern w:val="2"/>
          <w:sz w:val="21"/>
          <w:szCs w:val="28"/>
          <w:lang w:val="en-US" w:eastAsia="zh-CN" w:bidi="ar-SA"/>
        </w:rPr>
      </w:pPr>
    </w:p>
    <w:p w14:paraId="6DB285D6">
      <w:pPr>
        <w:rPr>
          <w:rFonts w:hint="eastAsia" w:asciiTheme="minorEastAsia" w:hAnsiTheme="minorEastAsia" w:cstheme="minorEastAsia"/>
          <w:b/>
          <w:bCs/>
          <w:sz w:val="28"/>
          <w:szCs w:val="28"/>
          <w:lang w:eastAsia="zh-CN"/>
        </w:rPr>
      </w:pPr>
    </w:p>
    <w:p w14:paraId="09E4A1F6">
      <w:pPr>
        <w:rPr>
          <w:rFonts w:hint="eastAsia" w:asciiTheme="minorEastAsia" w:hAnsiTheme="minorEastAsia" w:cstheme="minorEastAsia"/>
          <w:b/>
          <w:bCs/>
          <w:sz w:val="28"/>
          <w:szCs w:val="28"/>
          <w:lang w:eastAsia="zh-CN"/>
        </w:rPr>
      </w:pPr>
    </w:p>
    <w:p w14:paraId="0D53B954">
      <w:pPr>
        <w:rPr>
          <w:rFonts w:hint="eastAsia" w:asciiTheme="minorEastAsia" w:hAnsiTheme="minorEastAsia" w:cstheme="minorEastAsia"/>
          <w:b/>
          <w:bCs/>
          <w:sz w:val="28"/>
          <w:szCs w:val="28"/>
          <w:lang w:eastAsia="zh-CN"/>
        </w:rPr>
      </w:pPr>
    </w:p>
    <w:p w14:paraId="430D7F23">
      <w:pPr>
        <w:rPr>
          <w:rFonts w:hint="eastAsia" w:asciiTheme="minorEastAsia" w:hAnsiTheme="minorEastAsia" w:cstheme="minorEastAsia"/>
          <w:b/>
          <w:bCs/>
          <w:sz w:val="28"/>
          <w:szCs w:val="28"/>
          <w:lang w:eastAsia="zh-CN"/>
        </w:rPr>
      </w:pPr>
    </w:p>
    <w:p w14:paraId="39FDD5C8">
      <w:pPr>
        <w:rPr>
          <w:rFonts w:hint="eastAsia" w:asciiTheme="minorEastAsia" w:hAnsiTheme="minorEastAsia" w:cstheme="minorEastAsia"/>
          <w:b/>
          <w:bCs/>
          <w:sz w:val="28"/>
          <w:szCs w:val="28"/>
          <w:lang w:eastAsia="zh-CN"/>
        </w:rPr>
      </w:pPr>
    </w:p>
    <w:p w14:paraId="4AB34194">
      <w:pPr>
        <w:rPr>
          <w:rFonts w:hint="eastAsia" w:asciiTheme="minorEastAsia" w:hAnsiTheme="minorEastAsia" w:cstheme="minorEastAsia"/>
          <w:b/>
          <w:bCs/>
          <w:sz w:val="28"/>
          <w:szCs w:val="28"/>
          <w:lang w:eastAsia="zh-CN"/>
        </w:rPr>
      </w:pPr>
    </w:p>
    <w:p w14:paraId="0B1A1DA1">
      <w:pPr>
        <w:rPr>
          <w:rFonts w:hint="eastAsia" w:asciiTheme="minorEastAsia" w:hAnsiTheme="minorEastAsia" w:cstheme="minorEastAsia"/>
          <w:b/>
          <w:bCs/>
          <w:sz w:val="28"/>
          <w:szCs w:val="28"/>
          <w:lang w:eastAsia="zh-CN"/>
        </w:rPr>
      </w:pPr>
    </w:p>
    <w:p w14:paraId="4A0796DC">
      <w:pPr>
        <w:rPr>
          <w:rFonts w:hint="eastAsia" w:asciiTheme="minorEastAsia" w:hAnsiTheme="minorEastAsia" w:cstheme="minorEastAsia"/>
          <w:b/>
          <w:bCs/>
          <w:sz w:val="28"/>
          <w:szCs w:val="28"/>
          <w:lang w:eastAsia="zh-CN"/>
        </w:rPr>
      </w:pPr>
    </w:p>
    <w:p w14:paraId="2B27EE69">
      <w:pPr>
        <w:rPr>
          <w:rFonts w:hint="eastAsia" w:asciiTheme="minorEastAsia" w:hAnsiTheme="minorEastAsia" w:cstheme="minorEastAsia"/>
          <w:b/>
          <w:bCs/>
          <w:sz w:val="28"/>
          <w:szCs w:val="28"/>
          <w:lang w:eastAsia="zh-CN"/>
        </w:rPr>
      </w:pPr>
    </w:p>
    <w:p w14:paraId="745A185F">
      <w:pPr>
        <w:rPr>
          <w:rFonts w:hint="eastAsia" w:asciiTheme="minorEastAsia" w:hAnsiTheme="minorEastAsia" w:cstheme="minorEastAsia"/>
          <w:b/>
          <w:bCs/>
          <w:sz w:val="28"/>
          <w:szCs w:val="28"/>
          <w:lang w:eastAsia="zh-CN"/>
        </w:rPr>
      </w:pPr>
    </w:p>
    <w:p w14:paraId="5A416AF2">
      <w:pPr>
        <w:rPr>
          <w:rFonts w:hint="eastAsia" w:asciiTheme="minorEastAsia" w:hAnsiTheme="minorEastAsia" w:cstheme="minorEastAsia"/>
          <w:b/>
          <w:bCs/>
          <w:sz w:val="28"/>
          <w:szCs w:val="28"/>
          <w:lang w:eastAsia="zh-CN"/>
        </w:rPr>
      </w:pPr>
    </w:p>
    <w:p w14:paraId="07027D59">
      <w:pPr>
        <w:rPr>
          <w:rFonts w:hint="eastAsia" w:asciiTheme="minorEastAsia" w:hAnsiTheme="minorEastAsia" w:cstheme="minorEastAsia"/>
          <w:b/>
          <w:bCs/>
          <w:sz w:val="28"/>
          <w:szCs w:val="28"/>
          <w:lang w:eastAsia="zh-CN"/>
        </w:rPr>
      </w:pPr>
    </w:p>
    <w:p w14:paraId="211426B1">
      <w:pPr>
        <w:rPr>
          <w:rFonts w:hint="eastAsia" w:asciiTheme="minorEastAsia" w:hAnsiTheme="minorEastAsia" w:cstheme="minorEastAsia"/>
          <w:b/>
          <w:bCs/>
          <w:sz w:val="28"/>
          <w:szCs w:val="28"/>
          <w:lang w:eastAsia="zh-CN"/>
        </w:rPr>
      </w:pPr>
    </w:p>
    <w:p w14:paraId="00815F36">
      <w:pPr>
        <w:widowControl/>
        <w:jc w:val="both"/>
        <w:outlineLvl w:val="9"/>
        <w:rPr>
          <w:rFonts w:hint="eastAsia" w:ascii="黑体" w:hAnsi="宋体" w:eastAsia="黑体" w:cs="宋体"/>
          <w:sz w:val="28"/>
          <w:szCs w:val="28"/>
          <w:lang w:bidi="ar"/>
        </w:rPr>
      </w:pPr>
    </w:p>
    <w:p w14:paraId="5B6B71F7">
      <w:pPr>
        <w:widowControl/>
        <w:jc w:val="center"/>
        <w:outlineLvl w:val="9"/>
        <w:rPr>
          <w:rFonts w:ascii="黑体" w:hAnsi="宋体" w:eastAsia="黑体" w:cs="宋体"/>
          <w:sz w:val="28"/>
          <w:szCs w:val="28"/>
        </w:rPr>
      </w:pPr>
      <w:r>
        <w:rPr>
          <w:rFonts w:hint="eastAsia" w:ascii="黑体" w:hAnsi="宋体" w:eastAsia="黑体" w:cs="宋体"/>
          <w:sz w:val="28"/>
          <w:szCs w:val="28"/>
          <w:lang w:bidi="ar"/>
        </w:rPr>
        <w:t>政策功能</w:t>
      </w:r>
    </w:p>
    <w:p w14:paraId="3FEA3BEB">
      <w:pPr>
        <w:pStyle w:val="16"/>
        <w:widowControl/>
        <w:ind w:left="-2" w:leftChars="-7" w:hanging="13" w:hangingChars="6"/>
        <w:jc w:val="center"/>
        <w:outlineLvl w:val="9"/>
        <w:rPr>
          <w:b/>
          <w:bCs/>
        </w:rPr>
      </w:pPr>
      <w:r>
        <w:rPr>
          <w:rFonts w:hint="eastAsia" w:cs="宋体"/>
          <w:b/>
          <w:bCs/>
        </w:rPr>
        <w:t>价格扣除</w:t>
      </w:r>
    </w:p>
    <w:p w14:paraId="600B1499">
      <w:pPr>
        <w:numPr>
          <w:ilvl w:val="0"/>
          <w:numId w:val="2"/>
        </w:numPr>
        <w:tabs>
          <w:tab w:val="left" w:pos="567"/>
        </w:tabs>
        <w:spacing w:line="360" w:lineRule="auto"/>
        <w:ind w:left="425" w:leftChars="0" w:hanging="425" w:firstLineChars="0"/>
        <w:outlineLvl w:val="0"/>
        <w:rPr>
          <w:rFonts w:ascii="宋体" w:hAnsi="宋体" w:cs="宋体"/>
          <w:szCs w:val="21"/>
        </w:rPr>
      </w:pPr>
      <w:bookmarkStart w:id="2" w:name="_Toc29386"/>
      <w:r>
        <w:rPr>
          <w:rFonts w:hint="eastAsia" w:ascii="宋体" w:hAnsi="宋体" w:cs="宋体"/>
          <w:szCs w:val="21"/>
          <w:lang w:bidi="ar"/>
        </w:rPr>
        <w:t>小型和微型企业产品价格扣除</w:t>
      </w:r>
      <w:bookmarkEnd w:id="2"/>
    </w:p>
    <w:p w14:paraId="6EB15D5D">
      <w:pPr>
        <w:numPr>
          <w:ilvl w:val="1"/>
          <w:numId w:val="2"/>
        </w:numPr>
        <w:spacing w:line="360" w:lineRule="auto"/>
        <w:rPr>
          <w:rFonts w:ascii="宋体" w:hAnsi="宋体" w:cs="宋体"/>
          <w:bCs/>
          <w:strike/>
          <w:szCs w:val="21"/>
        </w:rPr>
      </w:pPr>
      <w:r>
        <w:rPr>
          <w:rFonts w:hint="eastAsia" w:ascii="宋体" w:hAnsi="宋体" w:cs="宋体"/>
          <w:bCs/>
          <w:szCs w:val="21"/>
          <w:lang w:bidi="ar"/>
        </w:rPr>
        <w:t>根据《财政部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小型和微型企业产品的价格给予C1的扣除</w:t>
      </w:r>
      <w:r>
        <w:rPr>
          <w:rFonts w:hint="eastAsia" w:ascii="宋体" w:hAnsi="宋体" w:cs="宋体"/>
          <w:b/>
          <w:bCs w:val="0"/>
          <w:szCs w:val="21"/>
          <w:lang w:bidi="ar"/>
        </w:rPr>
        <w:t>（C1的取值为</w:t>
      </w:r>
      <w:r>
        <w:rPr>
          <w:rFonts w:hint="eastAsia" w:ascii="宋体" w:hAnsi="宋体" w:cs="宋体"/>
          <w:b/>
          <w:bCs w:val="0"/>
          <w:szCs w:val="21"/>
          <w:u w:val="single"/>
          <w:lang w:bidi="ar"/>
        </w:rPr>
        <w:t>10</w:t>
      </w:r>
      <w:r>
        <w:rPr>
          <w:rFonts w:hint="eastAsia" w:ascii="宋体" w:hAnsi="宋体" w:cs="宋体"/>
          <w:b/>
          <w:bCs w:val="0"/>
          <w:szCs w:val="21"/>
          <w:lang w:bidi="ar"/>
        </w:rPr>
        <w:t>%）</w:t>
      </w:r>
      <w:r>
        <w:rPr>
          <w:rFonts w:hint="eastAsia" w:ascii="宋体" w:hAnsi="宋体" w:cs="宋体"/>
          <w:bCs/>
          <w:szCs w:val="21"/>
          <w:lang w:bidi="ar"/>
        </w:rPr>
        <w:t>，用扣除后的价格参与评审。</w:t>
      </w:r>
    </w:p>
    <w:p w14:paraId="38467324">
      <w:pPr>
        <w:numPr>
          <w:ilvl w:val="1"/>
          <w:numId w:val="2"/>
        </w:numPr>
        <w:spacing w:line="360" w:lineRule="auto"/>
        <w:rPr>
          <w:rFonts w:ascii="宋体" w:hAnsi="宋体" w:cs="宋体"/>
          <w:bCs/>
          <w:szCs w:val="21"/>
        </w:rPr>
      </w:pPr>
      <w:r>
        <w:rPr>
          <w:rFonts w:hint="eastAsia" w:ascii="宋体" w:hAnsi="宋体" w:cs="宋体"/>
          <w:bCs/>
          <w:szCs w:val="21"/>
          <w:lang w:bidi="ar"/>
        </w:rPr>
        <w:t>《政府采购促进中小企业发展管理办法》所称中小企业（含中型、小型、微型企业，下同）应当同时符合以下条件：</w:t>
      </w:r>
    </w:p>
    <w:p w14:paraId="27018DEC">
      <w:pPr>
        <w:numPr>
          <w:ilvl w:val="2"/>
          <w:numId w:val="2"/>
        </w:numPr>
        <w:spacing w:line="360" w:lineRule="auto"/>
        <w:ind w:left="567" w:hanging="567"/>
        <w:outlineLvl w:val="9"/>
        <w:rPr>
          <w:rFonts w:ascii="宋体" w:hAnsi="宋体" w:cs="宋体"/>
          <w:bCs/>
          <w:szCs w:val="21"/>
        </w:rPr>
      </w:pPr>
      <w:r>
        <w:rPr>
          <w:rFonts w:hint="eastAsia" w:ascii="宋体" w:hAnsi="宋体" w:cs="宋体"/>
          <w:bCs/>
          <w:szCs w:val="21"/>
          <w:lang w:bidi="ar"/>
        </w:rPr>
        <w:t xml:space="preserve">符合中小企业划分标准； </w:t>
      </w:r>
    </w:p>
    <w:p w14:paraId="0FD0E25E">
      <w:pPr>
        <w:numPr>
          <w:ilvl w:val="2"/>
          <w:numId w:val="2"/>
        </w:numPr>
        <w:spacing w:line="360" w:lineRule="auto"/>
        <w:ind w:left="567" w:hanging="567"/>
        <w:rPr>
          <w:rFonts w:ascii="宋体" w:hAnsi="宋体" w:cs="宋体"/>
          <w:bCs/>
          <w:szCs w:val="21"/>
        </w:rPr>
      </w:pPr>
      <w:r>
        <w:rPr>
          <w:rFonts w:hint="eastAsia" w:ascii="宋体" w:hAnsi="宋体" w:cs="宋体"/>
          <w:bCs/>
          <w:szCs w:val="21"/>
          <w:lang w:bidi="ar"/>
        </w:rPr>
        <w:t>提供本企业制造的货物、承担的工程或者服务，或者提供其他中小企业制造的货物。本项所称货物不包括使用大型企业注册商标的货物。</w:t>
      </w:r>
    </w:p>
    <w:p w14:paraId="1457FC4F">
      <w:pPr>
        <w:spacing w:line="360" w:lineRule="auto"/>
        <w:ind w:firstLine="495" w:firstLineChars="236"/>
        <w:rPr>
          <w:rFonts w:ascii="宋体" w:hAnsi="宋体" w:cs="宋体"/>
          <w:bCs/>
          <w:szCs w:val="21"/>
        </w:rPr>
      </w:pPr>
      <w:r>
        <w:rPr>
          <w:rFonts w:hint="eastAsia" w:ascii="宋体" w:hAnsi="宋体" w:cs="宋体"/>
          <w:bCs/>
          <w:szCs w:val="21"/>
          <w:lang w:bidi="ar"/>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14:paraId="1DAE5FBF">
      <w:pPr>
        <w:numPr>
          <w:ilvl w:val="1"/>
          <w:numId w:val="2"/>
        </w:numPr>
        <w:spacing w:line="360" w:lineRule="auto"/>
        <w:rPr>
          <w:rFonts w:ascii="宋体" w:hAnsi="宋体" w:cs="宋体"/>
          <w:szCs w:val="21"/>
        </w:rPr>
      </w:pPr>
      <w:r>
        <w:rPr>
          <w:rFonts w:hint="eastAsia" w:ascii="宋体" w:hAnsi="宋体" w:cs="宋体"/>
          <w:bCs/>
          <w:szCs w:val="21"/>
          <w:lang w:bidi="ar"/>
        </w:rPr>
        <w:t>参加政府采购活动的中小企业应当提供《中小企业声明函》（格式见第六章投标文件格式）</w:t>
      </w:r>
      <w:r>
        <w:rPr>
          <w:rFonts w:hint="eastAsia" w:ascii="宋体" w:hAnsi="宋体" w:cs="宋体"/>
          <w:szCs w:val="21"/>
          <w:lang w:bidi="ar"/>
        </w:rPr>
        <w:t>。</w:t>
      </w:r>
    </w:p>
    <w:p w14:paraId="150FA081">
      <w:pPr>
        <w:spacing w:line="360" w:lineRule="auto"/>
        <w:ind w:left="567"/>
        <w:rPr>
          <w:rFonts w:ascii="宋体" w:hAnsi="宋体" w:cs="宋体"/>
          <w:bCs/>
          <w:szCs w:val="21"/>
        </w:rPr>
      </w:pPr>
      <w:r>
        <w:rPr>
          <w:rFonts w:hint="eastAsia" w:ascii="宋体" w:hAnsi="宋体" w:cs="宋体"/>
          <w:bCs/>
          <w:szCs w:val="21"/>
          <w:lang w:bidi="ar"/>
        </w:rPr>
        <w:t>投标人提供的货物只有部分为小型或微型企业制造的，不享受价格扣除。</w:t>
      </w:r>
    </w:p>
    <w:p w14:paraId="5A21A797">
      <w:pPr>
        <w:numPr>
          <w:ilvl w:val="1"/>
          <w:numId w:val="2"/>
        </w:numPr>
        <w:spacing w:line="360" w:lineRule="auto"/>
        <w:outlineLvl w:val="9"/>
        <w:rPr>
          <w:rFonts w:ascii="宋体" w:hAnsi="宋体" w:cs="宋体"/>
          <w:szCs w:val="21"/>
        </w:rPr>
      </w:pPr>
      <w:r>
        <w:rPr>
          <w:rFonts w:hint="eastAsia" w:ascii="宋体" w:hAnsi="宋体" w:cs="宋体"/>
          <w:szCs w:val="21"/>
          <w:lang w:bidi="ar"/>
        </w:rPr>
        <w:t>监狱企业产品价格扣除</w:t>
      </w:r>
    </w:p>
    <w:p w14:paraId="70A22E0A">
      <w:pPr>
        <w:numPr>
          <w:ilvl w:val="2"/>
          <w:numId w:val="2"/>
        </w:numPr>
        <w:spacing w:line="360" w:lineRule="auto"/>
        <w:ind w:left="567" w:hanging="567"/>
        <w:rPr>
          <w:rFonts w:ascii="宋体" w:hAnsi="宋体" w:cs="宋体"/>
          <w:szCs w:val="21"/>
        </w:rPr>
      </w:pPr>
      <w:r>
        <w:rPr>
          <w:rFonts w:hint="eastAsia" w:ascii="宋体" w:hAnsi="宋体" w:cs="宋体"/>
          <w:szCs w:val="21"/>
          <w:lang w:bidi="ar"/>
        </w:rPr>
        <w:t>监狱企业视同小型、微型企业，按上述条款享受评审中价格扣除。</w:t>
      </w:r>
    </w:p>
    <w:p w14:paraId="514C4064">
      <w:pPr>
        <w:numPr>
          <w:ilvl w:val="2"/>
          <w:numId w:val="2"/>
        </w:numPr>
        <w:spacing w:line="360" w:lineRule="auto"/>
        <w:ind w:left="567" w:hanging="567"/>
        <w:rPr>
          <w:rFonts w:ascii="宋体" w:hAnsi="宋体" w:cs="宋体"/>
          <w:szCs w:val="21"/>
        </w:rPr>
      </w:pPr>
      <w:r>
        <w:rPr>
          <w:rFonts w:hint="eastAsia" w:ascii="宋体" w:hAnsi="宋体" w:cs="宋体"/>
          <w:szCs w:val="21"/>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875C41">
      <w:pPr>
        <w:numPr>
          <w:ilvl w:val="2"/>
          <w:numId w:val="2"/>
        </w:numPr>
        <w:spacing w:line="360" w:lineRule="auto"/>
        <w:ind w:left="567" w:hanging="567"/>
        <w:rPr>
          <w:rFonts w:ascii="宋体" w:hAnsi="宋体" w:cs="宋体"/>
          <w:szCs w:val="21"/>
        </w:rPr>
      </w:pPr>
      <w:r>
        <w:rPr>
          <w:rFonts w:hint="eastAsia" w:ascii="宋体" w:hAnsi="宋体" w:cs="宋体"/>
          <w:szCs w:val="21"/>
          <w:lang w:bidi="ar"/>
        </w:rPr>
        <w:t>监狱企业参加政府采购活动时，应当提供由省级以上监狱管理局、戒毒管理局（含新疆生产建设兵团）出具的属于监狱企业的证明文件，</w:t>
      </w:r>
      <w:r>
        <w:rPr>
          <w:rFonts w:hint="eastAsia" w:ascii="宋体" w:hAnsi="宋体" w:cs="宋体"/>
          <w:kern w:val="0"/>
          <w:szCs w:val="21"/>
          <w:lang w:bidi="ar"/>
        </w:rPr>
        <w:t>否则不予认可</w:t>
      </w:r>
      <w:r>
        <w:rPr>
          <w:rFonts w:hint="eastAsia" w:ascii="宋体" w:hAnsi="宋体" w:cs="宋体"/>
          <w:szCs w:val="21"/>
          <w:lang w:bidi="ar"/>
        </w:rPr>
        <w:t>。</w:t>
      </w:r>
    </w:p>
    <w:p w14:paraId="683978EB">
      <w:pPr>
        <w:numPr>
          <w:ilvl w:val="1"/>
          <w:numId w:val="2"/>
        </w:numPr>
        <w:spacing w:line="360" w:lineRule="auto"/>
        <w:outlineLvl w:val="9"/>
        <w:rPr>
          <w:rFonts w:ascii="宋体" w:hAnsi="宋体" w:cs="宋体"/>
          <w:szCs w:val="21"/>
        </w:rPr>
      </w:pPr>
      <w:r>
        <w:rPr>
          <w:rFonts w:hint="eastAsia" w:ascii="宋体" w:hAnsi="宋体" w:cs="宋体"/>
          <w:szCs w:val="21"/>
          <w:lang w:bidi="ar"/>
        </w:rPr>
        <w:t>残疾人福利性单位产品价格扣除</w:t>
      </w:r>
    </w:p>
    <w:p w14:paraId="2125CF69">
      <w:pPr>
        <w:numPr>
          <w:ilvl w:val="2"/>
          <w:numId w:val="2"/>
        </w:numPr>
        <w:spacing w:line="360" w:lineRule="auto"/>
        <w:ind w:left="567" w:hanging="567"/>
        <w:rPr>
          <w:rFonts w:ascii="宋体" w:hAnsi="宋体" w:cs="宋体"/>
          <w:szCs w:val="21"/>
        </w:rPr>
      </w:pPr>
      <w:r>
        <w:rPr>
          <w:rFonts w:hint="eastAsia" w:ascii="宋体" w:hAnsi="宋体" w:cs="宋体"/>
          <w:szCs w:val="21"/>
          <w:lang w:bidi="ar"/>
        </w:rPr>
        <w:t>残疾人福利性单位视同小型、微型企业，按上述条款享受评审中价格扣除。</w:t>
      </w:r>
    </w:p>
    <w:p w14:paraId="03CA2C9B">
      <w:pPr>
        <w:numPr>
          <w:ilvl w:val="2"/>
          <w:numId w:val="2"/>
        </w:numPr>
        <w:spacing w:line="360" w:lineRule="auto"/>
        <w:ind w:left="567" w:hanging="567"/>
        <w:rPr>
          <w:rFonts w:ascii="宋体" w:hAnsi="宋体" w:cs="宋体"/>
          <w:szCs w:val="21"/>
        </w:rPr>
      </w:pPr>
      <w:r>
        <w:rPr>
          <w:rFonts w:hint="eastAsia" w:ascii="宋体" w:hAnsi="宋体" w:cs="宋体"/>
          <w:bCs/>
          <w:szCs w:val="21"/>
          <w:lang w:bidi="ar"/>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w:t>
      </w:r>
      <w:r>
        <w:rPr>
          <w:rFonts w:hint="eastAsia" w:ascii="宋体" w:hAnsi="宋体" w:cs="宋体"/>
          <w:szCs w:val="21"/>
          <w:lang w:bidi="ar"/>
        </w:rPr>
        <w:t>声明的真实性负责。一旦中标将在中标公告中公告其声明函，接受社会监督。投标人提供的《残疾人福利性单位声明函》与事实不符的，依照《</w:t>
      </w:r>
      <w:r>
        <w:rPr>
          <w:rFonts w:hint="eastAsia" w:ascii="宋体" w:hAnsi="宋体" w:cs="宋体"/>
          <w:bCs/>
          <w:szCs w:val="21"/>
          <w:lang w:bidi="ar"/>
        </w:rPr>
        <w:t>中华人民共和国政府采购法</w:t>
      </w:r>
      <w:r>
        <w:rPr>
          <w:rFonts w:hint="eastAsia" w:ascii="宋体" w:hAnsi="宋体" w:cs="宋体"/>
          <w:szCs w:val="21"/>
          <w:lang w:bidi="ar"/>
        </w:rPr>
        <w:t>》第七十七条第一款的规定追究法律责任。</w:t>
      </w:r>
    </w:p>
    <w:p w14:paraId="20C042D0">
      <w:pPr>
        <w:numPr>
          <w:ilvl w:val="0"/>
          <w:numId w:val="2"/>
        </w:numPr>
        <w:tabs>
          <w:tab w:val="left" w:pos="567"/>
        </w:tabs>
        <w:spacing w:line="360" w:lineRule="auto"/>
        <w:ind w:left="567" w:hanging="567"/>
        <w:rPr>
          <w:rFonts w:ascii="宋体" w:hAnsi="宋体" w:cs="宋体"/>
          <w:color w:val="0000FF"/>
          <w:szCs w:val="21"/>
        </w:rPr>
      </w:pPr>
      <w:r>
        <w:rPr>
          <w:rFonts w:hint="eastAsia" w:ascii="宋体" w:hAnsi="宋体" w:cs="宋体"/>
          <w:szCs w:val="21"/>
          <w:lang w:bidi="ar"/>
        </w:rPr>
        <w:t>投标人同时为小型、微型企业、监狱企业、残疾人福利性单位任两种或以上情况的，评审中只享受一次价格扣除，不重复进行价格扣除。</w:t>
      </w:r>
    </w:p>
    <w:p w14:paraId="410D19D5">
      <w:pPr>
        <w:widowControl w:val="0"/>
        <w:numPr>
          <w:ilvl w:val="0"/>
          <w:numId w:val="0"/>
        </w:numPr>
        <w:tabs>
          <w:tab w:val="left" w:pos="567"/>
        </w:tabs>
        <w:spacing w:line="360" w:lineRule="auto"/>
        <w:jc w:val="both"/>
        <w:rPr>
          <w:rFonts w:hint="eastAsia" w:ascii="宋体" w:hAnsi="宋体" w:cs="宋体"/>
          <w:szCs w:val="21"/>
          <w:lang w:bidi="ar"/>
        </w:rPr>
      </w:pPr>
    </w:p>
    <w:p w14:paraId="017912EA">
      <w:pPr>
        <w:widowControl w:val="0"/>
        <w:numPr>
          <w:ilvl w:val="0"/>
          <w:numId w:val="0"/>
        </w:numPr>
        <w:tabs>
          <w:tab w:val="left" w:pos="567"/>
        </w:tabs>
        <w:spacing w:line="360" w:lineRule="auto"/>
        <w:jc w:val="both"/>
        <w:rPr>
          <w:rFonts w:hint="eastAsia" w:ascii="宋体" w:hAnsi="宋体" w:cs="宋体"/>
          <w:szCs w:val="21"/>
          <w:lang w:bidi="ar"/>
        </w:rPr>
      </w:pPr>
    </w:p>
    <w:p w14:paraId="7E21F0F4">
      <w:pPr>
        <w:widowControl w:val="0"/>
        <w:numPr>
          <w:ilvl w:val="0"/>
          <w:numId w:val="0"/>
        </w:numPr>
        <w:tabs>
          <w:tab w:val="left" w:pos="567"/>
        </w:tabs>
        <w:spacing w:line="360" w:lineRule="auto"/>
        <w:jc w:val="both"/>
        <w:rPr>
          <w:rFonts w:hint="eastAsia" w:ascii="宋体" w:hAnsi="宋体" w:cs="宋体"/>
          <w:szCs w:val="21"/>
          <w:lang w:bidi="ar"/>
        </w:rPr>
      </w:pPr>
    </w:p>
    <w:p w14:paraId="278A28D2">
      <w:pPr>
        <w:widowControl w:val="0"/>
        <w:numPr>
          <w:ilvl w:val="0"/>
          <w:numId w:val="0"/>
        </w:numPr>
        <w:tabs>
          <w:tab w:val="left" w:pos="567"/>
        </w:tabs>
        <w:spacing w:line="360" w:lineRule="auto"/>
        <w:jc w:val="both"/>
        <w:rPr>
          <w:rFonts w:hint="eastAsia" w:ascii="宋体" w:hAnsi="宋体" w:cs="宋体"/>
          <w:szCs w:val="21"/>
          <w:lang w:bidi="ar"/>
        </w:rPr>
      </w:pPr>
    </w:p>
    <w:p w14:paraId="51B5C5C8">
      <w:pPr>
        <w:widowControl w:val="0"/>
        <w:numPr>
          <w:ilvl w:val="0"/>
          <w:numId w:val="0"/>
        </w:numPr>
        <w:tabs>
          <w:tab w:val="left" w:pos="567"/>
        </w:tabs>
        <w:spacing w:line="360" w:lineRule="auto"/>
        <w:jc w:val="both"/>
        <w:rPr>
          <w:rFonts w:hint="eastAsia" w:ascii="宋体" w:hAnsi="宋体" w:cs="宋体"/>
          <w:szCs w:val="21"/>
          <w:lang w:bidi="ar"/>
        </w:rPr>
      </w:pPr>
    </w:p>
    <w:p w14:paraId="02203786">
      <w:pPr>
        <w:widowControl w:val="0"/>
        <w:numPr>
          <w:ilvl w:val="0"/>
          <w:numId w:val="0"/>
        </w:numPr>
        <w:tabs>
          <w:tab w:val="left" w:pos="567"/>
        </w:tabs>
        <w:spacing w:line="360" w:lineRule="auto"/>
        <w:jc w:val="both"/>
        <w:rPr>
          <w:rFonts w:hint="eastAsia" w:ascii="宋体" w:hAnsi="宋体" w:cs="宋体"/>
          <w:szCs w:val="21"/>
          <w:lang w:bidi="ar"/>
        </w:rPr>
      </w:pPr>
    </w:p>
    <w:p w14:paraId="4AD4D8CF">
      <w:pPr>
        <w:widowControl w:val="0"/>
        <w:numPr>
          <w:ilvl w:val="0"/>
          <w:numId w:val="0"/>
        </w:numPr>
        <w:tabs>
          <w:tab w:val="left" w:pos="567"/>
        </w:tabs>
        <w:spacing w:line="360" w:lineRule="auto"/>
        <w:jc w:val="both"/>
        <w:rPr>
          <w:rFonts w:hint="eastAsia" w:ascii="宋体" w:hAnsi="宋体" w:cs="宋体"/>
          <w:szCs w:val="21"/>
          <w:lang w:bidi="ar"/>
        </w:rPr>
      </w:pPr>
    </w:p>
    <w:p w14:paraId="7D3AF6E1">
      <w:pPr>
        <w:widowControl w:val="0"/>
        <w:numPr>
          <w:ilvl w:val="0"/>
          <w:numId w:val="0"/>
        </w:numPr>
        <w:tabs>
          <w:tab w:val="left" w:pos="567"/>
        </w:tabs>
        <w:spacing w:line="360" w:lineRule="auto"/>
        <w:jc w:val="both"/>
        <w:rPr>
          <w:rFonts w:hint="eastAsia" w:ascii="宋体" w:hAnsi="宋体" w:cs="宋体"/>
          <w:szCs w:val="21"/>
          <w:lang w:bidi="ar"/>
        </w:rPr>
      </w:pPr>
    </w:p>
    <w:p w14:paraId="26B6CF80">
      <w:pPr>
        <w:widowControl w:val="0"/>
        <w:numPr>
          <w:ilvl w:val="0"/>
          <w:numId w:val="0"/>
        </w:numPr>
        <w:tabs>
          <w:tab w:val="left" w:pos="567"/>
        </w:tabs>
        <w:spacing w:line="360" w:lineRule="auto"/>
        <w:jc w:val="both"/>
        <w:rPr>
          <w:rFonts w:hint="eastAsia" w:ascii="宋体" w:hAnsi="宋体" w:cs="宋体"/>
          <w:szCs w:val="21"/>
          <w:lang w:bidi="ar"/>
        </w:rPr>
      </w:pPr>
    </w:p>
    <w:p w14:paraId="4F9FC11B">
      <w:pPr>
        <w:widowControl w:val="0"/>
        <w:numPr>
          <w:ilvl w:val="0"/>
          <w:numId w:val="0"/>
        </w:numPr>
        <w:tabs>
          <w:tab w:val="left" w:pos="567"/>
        </w:tabs>
        <w:spacing w:line="360" w:lineRule="auto"/>
        <w:jc w:val="both"/>
        <w:rPr>
          <w:rFonts w:hint="eastAsia" w:ascii="宋体" w:hAnsi="宋体" w:cs="宋体"/>
          <w:szCs w:val="21"/>
          <w:lang w:bidi="ar"/>
        </w:rPr>
      </w:pPr>
    </w:p>
    <w:p w14:paraId="1ED2C2B7">
      <w:pPr>
        <w:widowControl w:val="0"/>
        <w:numPr>
          <w:ilvl w:val="0"/>
          <w:numId w:val="0"/>
        </w:numPr>
        <w:tabs>
          <w:tab w:val="left" w:pos="567"/>
        </w:tabs>
        <w:spacing w:line="360" w:lineRule="auto"/>
        <w:jc w:val="both"/>
        <w:rPr>
          <w:rFonts w:hint="eastAsia" w:ascii="宋体" w:hAnsi="宋体" w:cs="宋体"/>
          <w:szCs w:val="21"/>
          <w:lang w:bidi="ar"/>
        </w:rPr>
      </w:pPr>
    </w:p>
    <w:p w14:paraId="2CE07816">
      <w:pPr>
        <w:widowControl w:val="0"/>
        <w:numPr>
          <w:ilvl w:val="0"/>
          <w:numId w:val="0"/>
        </w:numPr>
        <w:tabs>
          <w:tab w:val="left" w:pos="567"/>
        </w:tabs>
        <w:spacing w:line="360" w:lineRule="auto"/>
        <w:jc w:val="both"/>
        <w:rPr>
          <w:rFonts w:hint="eastAsia" w:ascii="宋体" w:hAnsi="宋体" w:cs="宋体"/>
          <w:szCs w:val="21"/>
          <w:lang w:bidi="ar"/>
        </w:rPr>
      </w:pPr>
    </w:p>
    <w:p w14:paraId="5C054A8D">
      <w:pPr>
        <w:widowControl w:val="0"/>
        <w:numPr>
          <w:ilvl w:val="0"/>
          <w:numId w:val="0"/>
        </w:numPr>
        <w:tabs>
          <w:tab w:val="left" w:pos="567"/>
        </w:tabs>
        <w:spacing w:line="360" w:lineRule="auto"/>
        <w:jc w:val="both"/>
        <w:rPr>
          <w:rFonts w:hint="eastAsia" w:ascii="宋体" w:hAnsi="宋体" w:cs="宋体"/>
          <w:szCs w:val="21"/>
          <w:lang w:bidi="ar"/>
        </w:rPr>
      </w:pPr>
    </w:p>
    <w:p w14:paraId="7D7822F5">
      <w:pPr>
        <w:widowControl w:val="0"/>
        <w:numPr>
          <w:ilvl w:val="0"/>
          <w:numId w:val="0"/>
        </w:numPr>
        <w:tabs>
          <w:tab w:val="left" w:pos="567"/>
        </w:tabs>
        <w:spacing w:line="360" w:lineRule="auto"/>
        <w:jc w:val="both"/>
        <w:rPr>
          <w:rFonts w:hint="eastAsia" w:ascii="宋体" w:hAnsi="宋体" w:cs="宋体"/>
          <w:szCs w:val="21"/>
          <w:lang w:bidi="ar"/>
        </w:rPr>
      </w:pPr>
    </w:p>
    <w:p w14:paraId="4B743458">
      <w:pPr>
        <w:widowControl w:val="0"/>
        <w:numPr>
          <w:ilvl w:val="0"/>
          <w:numId w:val="0"/>
        </w:numPr>
        <w:tabs>
          <w:tab w:val="left" w:pos="567"/>
        </w:tabs>
        <w:spacing w:line="360" w:lineRule="auto"/>
        <w:jc w:val="both"/>
        <w:rPr>
          <w:rFonts w:hint="eastAsia" w:ascii="宋体" w:hAnsi="宋体" w:cs="宋体"/>
          <w:szCs w:val="21"/>
          <w:lang w:bidi="ar"/>
        </w:rPr>
      </w:pPr>
    </w:p>
    <w:p w14:paraId="2C2480CA">
      <w:pPr>
        <w:widowControl w:val="0"/>
        <w:numPr>
          <w:ilvl w:val="0"/>
          <w:numId w:val="0"/>
        </w:numPr>
        <w:tabs>
          <w:tab w:val="left" w:pos="567"/>
        </w:tabs>
        <w:spacing w:line="360" w:lineRule="auto"/>
        <w:jc w:val="both"/>
        <w:rPr>
          <w:rFonts w:hint="eastAsia" w:ascii="宋体" w:hAnsi="宋体" w:cs="宋体"/>
          <w:szCs w:val="21"/>
          <w:lang w:bidi="ar"/>
        </w:rPr>
      </w:pPr>
    </w:p>
    <w:p w14:paraId="2633BB7B">
      <w:pPr>
        <w:widowControl w:val="0"/>
        <w:numPr>
          <w:ilvl w:val="0"/>
          <w:numId w:val="0"/>
        </w:numPr>
        <w:tabs>
          <w:tab w:val="left" w:pos="567"/>
        </w:tabs>
        <w:spacing w:line="360" w:lineRule="auto"/>
        <w:jc w:val="both"/>
        <w:rPr>
          <w:rFonts w:hint="eastAsia" w:ascii="宋体" w:hAnsi="宋体" w:cs="宋体"/>
          <w:szCs w:val="21"/>
          <w:lang w:bidi="ar"/>
        </w:rPr>
      </w:pPr>
    </w:p>
    <w:p w14:paraId="2B7539EB">
      <w:pPr>
        <w:widowControl w:val="0"/>
        <w:numPr>
          <w:ilvl w:val="0"/>
          <w:numId w:val="0"/>
        </w:numPr>
        <w:tabs>
          <w:tab w:val="left" w:pos="567"/>
        </w:tabs>
        <w:spacing w:line="360" w:lineRule="auto"/>
        <w:jc w:val="both"/>
        <w:rPr>
          <w:rFonts w:hint="eastAsia" w:ascii="宋体" w:hAnsi="宋体" w:cs="宋体"/>
          <w:szCs w:val="21"/>
          <w:lang w:bidi="ar"/>
        </w:rPr>
      </w:pPr>
    </w:p>
    <w:p w14:paraId="217EECD4">
      <w:pPr>
        <w:widowControl w:val="0"/>
        <w:numPr>
          <w:ilvl w:val="0"/>
          <w:numId w:val="0"/>
        </w:numPr>
        <w:tabs>
          <w:tab w:val="left" w:pos="567"/>
        </w:tabs>
        <w:spacing w:line="360" w:lineRule="auto"/>
        <w:jc w:val="both"/>
        <w:rPr>
          <w:rFonts w:hint="eastAsia" w:ascii="宋体" w:hAnsi="宋体" w:cs="宋体"/>
          <w:szCs w:val="21"/>
          <w:lang w:bidi="ar"/>
        </w:rPr>
      </w:pPr>
    </w:p>
    <w:p w14:paraId="6446377F">
      <w:pPr>
        <w:widowControl w:val="0"/>
        <w:numPr>
          <w:ilvl w:val="0"/>
          <w:numId w:val="0"/>
        </w:numPr>
        <w:tabs>
          <w:tab w:val="left" w:pos="567"/>
        </w:tabs>
        <w:spacing w:line="360" w:lineRule="auto"/>
        <w:jc w:val="both"/>
        <w:rPr>
          <w:rFonts w:hint="eastAsia" w:ascii="宋体" w:hAnsi="宋体" w:cs="宋体"/>
          <w:szCs w:val="21"/>
          <w:lang w:bidi="ar"/>
        </w:rPr>
      </w:pPr>
    </w:p>
    <w:p w14:paraId="4C0FFA16">
      <w:pPr>
        <w:widowControl w:val="0"/>
        <w:numPr>
          <w:ilvl w:val="0"/>
          <w:numId w:val="0"/>
        </w:numPr>
        <w:tabs>
          <w:tab w:val="left" w:pos="567"/>
        </w:tabs>
        <w:spacing w:line="360" w:lineRule="auto"/>
        <w:jc w:val="both"/>
        <w:rPr>
          <w:rFonts w:hint="eastAsia" w:ascii="宋体" w:hAnsi="宋体" w:cs="宋体"/>
          <w:szCs w:val="21"/>
          <w:lang w:bidi="ar"/>
        </w:rPr>
      </w:pPr>
    </w:p>
    <w:p w14:paraId="05B40DEC">
      <w:pPr>
        <w:widowControl w:val="0"/>
        <w:numPr>
          <w:ilvl w:val="0"/>
          <w:numId w:val="0"/>
        </w:numPr>
        <w:tabs>
          <w:tab w:val="left" w:pos="567"/>
        </w:tabs>
        <w:spacing w:line="360" w:lineRule="auto"/>
        <w:jc w:val="both"/>
        <w:rPr>
          <w:rFonts w:hint="eastAsia" w:ascii="宋体" w:hAnsi="宋体" w:cs="宋体"/>
          <w:szCs w:val="21"/>
          <w:lang w:bidi="ar"/>
        </w:rPr>
      </w:pPr>
    </w:p>
    <w:p w14:paraId="692C3E51">
      <w:pPr>
        <w:numPr>
          <w:ilvl w:val="0"/>
          <w:numId w:val="3"/>
        </w:numPr>
        <w:jc w:val="center"/>
        <w:outlineLvl w:val="0"/>
        <w:rPr>
          <w:rFonts w:hint="eastAsia" w:asciiTheme="majorEastAsia" w:hAnsiTheme="majorEastAsia" w:eastAsiaTheme="majorEastAsia"/>
          <w:sz w:val="32"/>
          <w:szCs w:val="32"/>
          <w:lang w:val="en-US" w:eastAsia="zh-CN"/>
        </w:rPr>
      </w:pPr>
      <w:bookmarkStart w:id="3" w:name="_Toc11375"/>
      <w:r>
        <w:rPr>
          <w:rFonts w:hint="eastAsia" w:asciiTheme="majorEastAsia" w:hAnsiTheme="majorEastAsia" w:eastAsiaTheme="majorEastAsia"/>
          <w:sz w:val="32"/>
          <w:szCs w:val="32"/>
          <w:lang w:val="en-US" w:eastAsia="zh-CN"/>
        </w:rPr>
        <w:t>征集公告</w:t>
      </w:r>
      <w:bookmarkEnd w:id="3"/>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4" w:name="OLE_LINK1"/>
      <w:bookmarkStart w:id="5" w:name="OLE_LINK3"/>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lang w:val="en-US" w:eastAsia="zh-CN"/>
        </w:rPr>
        <w:t>口腔耗材B包</w:t>
      </w:r>
      <w:r>
        <w:rPr>
          <w:rFonts w:hint="eastAsia" w:ascii="宋体" w:hAnsi="宋体"/>
          <w:szCs w:val="28"/>
          <w:lang w:eastAsia="zh-CN"/>
        </w:rPr>
        <w:t>征集</w:t>
      </w:r>
      <w:r>
        <w:rPr>
          <w:rFonts w:hint="eastAsia" w:ascii="宋体" w:hAnsi="宋体"/>
          <w:szCs w:val="28"/>
        </w:rPr>
        <w:t>项目的潜在投标人应在</w:t>
      </w:r>
      <w:r>
        <w:rPr>
          <w:rFonts w:hint="eastAsia" w:ascii="宋体" w:hAnsi="宋体"/>
          <w:szCs w:val="28"/>
          <w:lang w:val="en-US" w:eastAsia="zh-CN"/>
        </w:rPr>
        <w:t>深圳市福田区第二人民医院</w:t>
      </w:r>
      <w:r>
        <w:rPr>
          <w:rFonts w:hint="eastAsia" w:ascii="宋体" w:hAnsi="宋体"/>
          <w:szCs w:val="28"/>
        </w:rPr>
        <w:t>获取</w:t>
      </w:r>
      <w:r>
        <w:rPr>
          <w:rFonts w:hint="eastAsia" w:ascii="宋体" w:hAnsi="宋体"/>
          <w:szCs w:val="28"/>
          <w:lang w:eastAsia="zh-CN"/>
        </w:rPr>
        <w:t>征集</w:t>
      </w:r>
      <w:r>
        <w:rPr>
          <w:rFonts w:hint="eastAsia" w:ascii="宋体" w:hAnsi="宋体"/>
          <w:szCs w:val="28"/>
        </w:rPr>
        <w:t>文件，并于</w:t>
      </w:r>
      <w:r>
        <w:rPr>
          <w:rFonts w:hint="eastAsia" w:ascii="宋体" w:hAnsi="宋体"/>
          <w:szCs w:val="28"/>
          <w:u w:val="single"/>
        </w:rPr>
        <w:t>202</w:t>
      </w:r>
      <w:r>
        <w:rPr>
          <w:rFonts w:hint="eastAsia" w:ascii="宋体" w:hAnsi="宋体"/>
          <w:szCs w:val="28"/>
          <w:u w:val="single"/>
          <w:lang w:val="en-US" w:eastAsia="zh-CN"/>
        </w:rPr>
        <w:t>6</w:t>
      </w:r>
      <w:r>
        <w:rPr>
          <w:rFonts w:hint="eastAsia" w:ascii="宋体" w:hAnsi="宋体"/>
          <w:szCs w:val="28"/>
          <w:u w:val="single"/>
        </w:rPr>
        <w:t>年</w:t>
      </w:r>
      <w:r>
        <w:rPr>
          <w:rFonts w:hint="eastAsia" w:ascii="宋体" w:hAnsi="宋体"/>
          <w:szCs w:val="28"/>
          <w:u w:val="single"/>
          <w:lang w:val="en-US" w:eastAsia="zh-CN"/>
        </w:rPr>
        <w:t>2</w:t>
      </w:r>
      <w:r>
        <w:rPr>
          <w:rFonts w:hint="eastAsia" w:ascii="宋体" w:hAnsi="宋体"/>
          <w:szCs w:val="28"/>
          <w:u w:val="single"/>
        </w:rPr>
        <w:t>月</w:t>
      </w:r>
      <w:r>
        <w:rPr>
          <w:rFonts w:hint="eastAsia" w:ascii="宋体" w:hAnsi="宋体"/>
          <w:szCs w:val="28"/>
          <w:u w:val="single"/>
          <w:lang w:val="en-US" w:eastAsia="zh-CN"/>
        </w:rPr>
        <w:t>5</w:t>
      </w:r>
      <w:r>
        <w:rPr>
          <w:rFonts w:hint="eastAsia" w:ascii="宋体" w:hAnsi="宋体"/>
          <w:szCs w:val="28"/>
          <w:u w:val="single"/>
        </w:rPr>
        <w:t>日</w:t>
      </w:r>
      <w:r>
        <w:rPr>
          <w:rFonts w:hint="eastAsia" w:ascii="宋体" w:hAnsi="宋体"/>
          <w:szCs w:val="28"/>
          <w:u w:val="single"/>
          <w:lang w:val="en-US" w:eastAsia="zh-CN"/>
        </w:rPr>
        <w:t>8</w:t>
      </w:r>
      <w:r>
        <w:rPr>
          <w:rFonts w:hint="eastAsia" w:ascii="宋体" w:hAnsi="宋体"/>
          <w:szCs w:val="28"/>
          <w:u w:val="single"/>
        </w:rPr>
        <w:t>点30分</w:t>
      </w:r>
      <w:r>
        <w:rPr>
          <w:rFonts w:hint="eastAsia" w:ascii="宋体" w:hAnsi="宋体"/>
          <w:bCs/>
          <w:szCs w:val="28"/>
          <w:u w:val="none"/>
        </w:rPr>
        <w:t>（</w:t>
      </w:r>
      <w:r>
        <w:rPr>
          <w:rFonts w:hint="eastAsia" w:ascii="宋体" w:hAnsi="宋体"/>
          <w:bCs/>
          <w:szCs w:val="28"/>
        </w:rPr>
        <w:t>北京时间）前递交投标</w:t>
      </w:r>
      <w:r>
        <w:rPr>
          <w:rFonts w:ascii="宋体" w:hAnsi="宋体"/>
          <w:bCs/>
          <w:szCs w:val="28"/>
        </w:rPr>
        <w:t>文件</w:t>
      </w:r>
      <w:r>
        <w:rPr>
          <w:rFonts w:hint="eastAsia" w:ascii="宋体" w:hAnsi="宋体"/>
          <w:szCs w:val="28"/>
        </w:rPr>
        <w:t>。</w:t>
      </w:r>
    </w:p>
    <w:p w14:paraId="75F49FC0">
      <w:pPr>
        <w:spacing w:line="360" w:lineRule="auto"/>
        <w:ind w:firstLine="420" w:firstLineChars="200"/>
        <w:rPr>
          <w:rFonts w:hint="eastAsia" w:ascii="宋体" w:hAnsi="宋体"/>
        </w:rPr>
      </w:pPr>
      <w:bookmarkStart w:id="6" w:name="OLE_LINK2"/>
    </w:p>
    <w:p w14:paraId="445E017D">
      <w:pPr>
        <w:spacing w:line="360" w:lineRule="auto"/>
        <w:ind w:firstLine="420" w:firstLineChars="200"/>
        <w:outlineLvl w:val="9"/>
        <w:rPr>
          <w:rFonts w:ascii="宋体" w:hAnsi="宋体"/>
          <w:b/>
        </w:rPr>
      </w:pPr>
      <w:r>
        <w:rPr>
          <w:rFonts w:hint="eastAsia" w:ascii="宋体" w:hAnsi="宋体"/>
        </w:rPr>
        <w:t>一、项目基本情况</w:t>
      </w:r>
    </w:p>
    <w:p w14:paraId="2C46AC76">
      <w:pPr>
        <w:spacing w:line="360" w:lineRule="auto"/>
        <w:ind w:firstLine="420" w:firstLineChars="200"/>
        <w:rPr>
          <w:rFonts w:hint="default" w:ascii="宋体" w:hAnsi="宋体"/>
          <w:lang w:val="en-US"/>
        </w:rPr>
      </w:pPr>
      <w:r>
        <w:rPr>
          <w:rFonts w:hint="eastAsia" w:ascii="宋体" w:hAnsi="宋体"/>
        </w:rPr>
        <w:t>项目编号：</w:t>
      </w:r>
      <w:r>
        <w:rPr>
          <w:rFonts w:hint="eastAsia" w:ascii="宋体" w:hAnsi="宋体"/>
          <w:szCs w:val="28"/>
          <w:u w:val="none"/>
          <w:lang w:val="en-US" w:eastAsia="zh-CN"/>
        </w:rPr>
        <w:t>FTEY-FYC-010</w:t>
      </w:r>
    </w:p>
    <w:p w14:paraId="4C536290">
      <w:pPr>
        <w:spacing w:line="360" w:lineRule="auto"/>
        <w:ind w:firstLine="420" w:firstLineChars="200"/>
        <w:rPr>
          <w:rFonts w:hint="default" w:ascii="宋体" w:hAnsi="宋体"/>
          <w:lang w:val="en-US"/>
        </w:rPr>
      </w:pPr>
      <w:r>
        <w:rPr>
          <w:rFonts w:hint="eastAsia" w:ascii="宋体" w:hAnsi="宋体"/>
        </w:rPr>
        <w:t>项目名</w:t>
      </w:r>
      <w:r>
        <w:rPr>
          <w:rFonts w:hint="eastAsia" w:ascii="宋体" w:hAnsi="宋体"/>
          <w:szCs w:val="28"/>
          <w:u w:val="none"/>
          <w:lang w:val="en-US" w:eastAsia="zh-CN"/>
        </w:rPr>
        <w:t>称：口腔耗材B包</w:t>
      </w:r>
    </w:p>
    <w:p w14:paraId="6B8796DB">
      <w:pPr>
        <w:spacing w:line="360" w:lineRule="auto"/>
        <w:ind w:firstLine="420" w:firstLineChars="200"/>
        <w:rPr>
          <w:rFonts w:hint="eastAsia" w:ascii="宋体" w:hAnsi="宋体"/>
          <w:szCs w:val="21"/>
        </w:rPr>
      </w:pPr>
      <w:r>
        <w:rPr>
          <w:rFonts w:hint="eastAsia" w:ascii="宋体" w:hAnsi="宋体"/>
        </w:rPr>
        <w:t>预算金额（支付上限）：人民币壹拾万贰仟伍佰叁拾叁元壹角捌分（¥</w:t>
      </w:r>
      <w:r>
        <w:rPr>
          <w:rFonts w:hint="eastAsia" w:ascii="宋体" w:hAnsi="宋体"/>
          <w:lang w:val="en-US" w:eastAsia="zh-CN"/>
        </w:rPr>
        <w:t>102533.18</w:t>
      </w:r>
      <w:r>
        <w:rPr>
          <w:rFonts w:hint="eastAsia" w:ascii="宋体" w:hAnsi="宋体"/>
          <w:szCs w:val="21"/>
        </w:rPr>
        <w:t>元）</w:t>
      </w:r>
    </w:p>
    <w:p w14:paraId="24B35A0B">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53438E1E">
      <w:pPr>
        <w:spacing w:line="360" w:lineRule="auto"/>
        <w:ind w:firstLine="420" w:firstLineChars="200"/>
        <w:rPr>
          <w:rFonts w:ascii="宋体" w:hAnsi="宋体"/>
          <w:u w:val="single"/>
        </w:rPr>
      </w:pPr>
      <w:r>
        <w:rPr>
          <w:rFonts w:hint="eastAsia" w:ascii="宋体" w:hAnsi="宋体"/>
        </w:rPr>
        <w:t>采购需求：详见</w:t>
      </w:r>
      <w:r>
        <w:rPr>
          <w:rFonts w:hint="eastAsia" w:ascii="宋体" w:hAnsi="宋体"/>
          <w:lang w:eastAsia="zh-CN"/>
        </w:rPr>
        <w:t>征集</w:t>
      </w:r>
      <w:r>
        <w:rPr>
          <w:rFonts w:hint="eastAsia" w:ascii="宋体" w:hAnsi="宋体"/>
        </w:rPr>
        <w:t>文件</w:t>
      </w:r>
    </w:p>
    <w:p w14:paraId="7CF96533">
      <w:pPr>
        <w:spacing w:line="360" w:lineRule="auto"/>
        <w:ind w:firstLine="420" w:firstLineChars="200"/>
        <w:rPr>
          <w:rFonts w:ascii="宋体" w:hAnsi="宋体"/>
          <w:u w:val="single"/>
        </w:rPr>
      </w:pPr>
      <w:r>
        <w:rPr>
          <w:rFonts w:hint="eastAsia" w:ascii="宋体" w:hAnsi="宋体"/>
        </w:rPr>
        <w:t>合同履行期限：详见</w:t>
      </w:r>
      <w:r>
        <w:rPr>
          <w:rFonts w:hint="eastAsia" w:ascii="宋体" w:hAnsi="宋体"/>
          <w:lang w:eastAsia="zh-CN"/>
        </w:rPr>
        <w:t>征集</w:t>
      </w:r>
      <w:r>
        <w:rPr>
          <w:rFonts w:hint="eastAsia" w:ascii="宋体" w:hAnsi="宋体"/>
        </w:rPr>
        <w:t>文件</w:t>
      </w:r>
    </w:p>
    <w:p w14:paraId="37C81C40">
      <w:pPr>
        <w:spacing w:line="360" w:lineRule="auto"/>
        <w:ind w:firstLine="420" w:firstLineChars="200"/>
        <w:rPr>
          <w:rFonts w:hint="eastAsia" w:ascii="宋体" w:hAnsi="宋体"/>
        </w:rPr>
      </w:pPr>
      <w:r>
        <w:rPr>
          <w:rFonts w:hint="eastAsia" w:ascii="宋体" w:hAnsi="宋体"/>
        </w:rPr>
        <w:t>本项目不接受联合体投标。</w:t>
      </w:r>
    </w:p>
    <w:p w14:paraId="16B89916">
      <w:pPr>
        <w:spacing w:line="360" w:lineRule="auto"/>
        <w:ind w:firstLine="420" w:firstLineChars="200"/>
        <w:rPr>
          <w:rFonts w:hint="eastAsia" w:ascii="宋体" w:hAnsi="宋体"/>
        </w:rPr>
      </w:pPr>
    </w:p>
    <w:p w14:paraId="1FCF967D">
      <w:pPr>
        <w:spacing w:line="360" w:lineRule="auto"/>
        <w:ind w:firstLine="420" w:firstLineChars="200"/>
        <w:outlineLvl w:val="9"/>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7"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bookmarkEnd w:id="7"/>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63509820">
      <w:pPr>
        <w:spacing w:line="360" w:lineRule="auto"/>
        <w:ind w:firstLine="420" w:firstLineChars="200"/>
        <w:rPr>
          <w:rFonts w:hint="eastAsia" w:ascii="宋体" w:hAnsi="宋体"/>
        </w:rPr>
      </w:pPr>
      <w:r>
        <w:rPr>
          <w:rFonts w:hint="eastAsia" w:ascii="宋体" w:hAnsi="宋体"/>
        </w:rPr>
        <w:t>①如投标人为所投产品的生产企业且所投产品为第一类医疗器械的，投标人须提供监督管理部门签发的涵盖所投医疗器械的有效《医疗器械生产备案凭证》（提供复印件加盖公章，原件备查）；</w:t>
      </w:r>
    </w:p>
    <w:p w14:paraId="25E8FCB6">
      <w:pPr>
        <w:spacing w:line="360" w:lineRule="auto"/>
        <w:ind w:firstLine="420" w:firstLineChars="200"/>
        <w:rPr>
          <w:rFonts w:hint="eastAsia" w:ascii="宋体" w:hAnsi="宋体"/>
        </w:rPr>
      </w:pPr>
      <w:r>
        <w:rPr>
          <w:rFonts w:hint="eastAsia" w:ascii="宋体" w:hAnsi="宋体"/>
        </w:rPr>
        <w:t>②如投标人为所投产品的生产企业且所投产品为第二、三类医疗器械的，投标人须提供监督管理部门签发的涵盖所投医疗器械的有效《医疗器械生产许可证》（提供复印件加盖公章，原件备查）；</w:t>
      </w:r>
    </w:p>
    <w:p w14:paraId="763399F8">
      <w:pPr>
        <w:spacing w:line="360" w:lineRule="auto"/>
        <w:ind w:firstLine="420" w:firstLineChars="200"/>
        <w:rPr>
          <w:rFonts w:hint="eastAsia" w:ascii="宋体" w:hAnsi="宋体"/>
        </w:rPr>
      </w:pPr>
      <w:r>
        <w:rPr>
          <w:rFonts w:hint="eastAsia" w:ascii="宋体" w:hAnsi="宋体"/>
        </w:rPr>
        <w:t>③如投标人为所投产品的经营企业且所投产品为第二类医疗器械的，投标人须提供监督管理部门签发的涵盖所投医疗器械的有效《医疗器械经营备案凭证》（提供复印件加盖公章，原件备查）；</w:t>
      </w:r>
    </w:p>
    <w:p w14:paraId="34A6C6B7">
      <w:pPr>
        <w:spacing w:line="360" w:lineRule="auto"/>
        <w:ind w:firstLine="420" w:firstLineChars="200"/>
        <w:rPr>
          <w:rFonts w:hint="eastAsia" w:ascii="宋体" w:hAnsi="宋体"/>
        </w:rPr>
      </w:pPr>
      <w:r>
        <w:rPr>
          <w:rFonts w:hint="eastAsia" w:ascii="宋体" w:hAnsi="宋体"/>
        </w:rPr>
        <w:t>④如投标人为所投产品的经营企业且所投产品为第三类医疗器械的，投标人须提供监督管理部门签发的涵盖所投医疗器械的有效《医疗器械经营许可证》（提供复印件加盖公章，原件备查）；</w:t>
      </w:r>
    </w:p>
    <w:p w14:paraId="227C4585">
      <w:pPr>
        <w:spacing w:line="360" w:lineRule="auto"/>
        <w:ind w:firstLine="420" w:firstLineChars="200"/>
        <w:rPr>
          <w:rFonts w:hint="eastAsia" w:ascii="宋体" w:hAnsi="宋体"/>
          <w:lang w:eastAsia="zh-CN"/>
        </w:rPr>
      </w:pPr>
      <w:r>
        <w:rPr>
          <w:rFonts w:hint="eastAsia" w:ascii="宋体" w:hAnsi="宋体"/>
        </w:rPr>
        <w:t>⑤如投标人所投产品不</w:t>
      </w:r>
      <w:r>
        <w:rPr>
          <w:rFonts w:hint="eastAsia" w:ascii="宋体" w:hAnsi="宋体"/>
          <w:lang w:val="en-US" w:eastAsia="zh-CN"/>
        </w:rPr>
        <w:t>属</w:t>
      </w:r>
      <w:r>
        <w:rPr>
          <w:rFonts w:hint="eastAsia" w:ascii="宋体" w:hAnsi="宋体"/>
        </w:rPr>
        <w:t>于第一、二、三类医疗器械的，投标人无需提供医疗器械生产/经营资格相关证明材料，但需提供投标人关于所投产品不属于医疗器械的相关说明（加盖投标人公章）。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lang w:val="en-US" w:eastAsia="zh-CN"/>
        </w:rPr>
        <w:t>部分耗材</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8"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bookmarkEnd w:id="8"/>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4"/>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77EE1078">
      <w:pPr>
        <w:numPr>
          <w:ilvl w:val="0"/>
          <w:numId w:val="5"/>
        </w:numPr>
        <w:spacing w:line="360" w:lineRule="auto"/>
        <w:ind w:firstLine="420" w:firstLineChars="200"/>
        <w:outlineLvl w:val="9"/>
        <w:rPr>
          <w:rFonts w:hint="eastAsia" w:ascii="宋体" w:hAnsi="宋体" w:eastAsiaTheme="minorEastAsia" w:cstheme="minorBidi"/>
          <w:bCs/>
          <w:kern w:val="2"/>
          <w:sz w:val="21"/>
          <w:szCs w:val="24"/>
          <w:lang w:val="en-US" w:eastAsia="zh-CN" w:bidi="ar-SA"/>
        </w:rPr>
      </w:pPr>
      <w:r>
        <w:rPr>
          <w:rFonts w:hint="eastAsia" w:ascii="宋体" w:hAnsi="宋体"/>
          <w:lang w:val="en-US" w:eastAsia="zh-CN"/>
        </w:rPr>
        <w:t>相关招投标时间及地点信息</w:t>
      </w:r>
    </w:p>
    <w:p w14:paraId="26A7EE59">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报名时间：2026年1月22日8时00分至2026年1月28日17时00分止。</w:t>
      </w:r>
    </w:p>
    <w:p w14:paraId="71056C72">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2</w:t>
      </w:r>
      <w:r>
        <w:rPr>
          <w:rFonts w:hint="eastAsia" w:ascii="宋体" w:hAnsi="宋体"/>
          <w:highlight w:val="none"/>
        </w:rPr>
        <w:t>月</w:t>
      </w:r>
      <w:r>
        <w:rPr>
          <w:rFonts w:hint="eastAsia" w:ascii="宋体" w:hAnsi="宋体"/>
          <w:highlight w:val="none"/>
          <w:lang w:val="en-US" w:eastAsia="zh-CN"/>
        </w:rPr>
        <w:t>5</w:t>
      </w:r>
      <w:r>
        <w:rPr>
          <w:rFonts w:hint="eastAsia" w:ascii="宋体" w:hAnsi="宋体"/>
          <w:highlight w:val="none"/>
        </w:rPr>
        <w:t>日</w:t>
      </w:r>
      <w:r>
        <w:rPr>
          <w:rFonts w:hint="eastAsia" w:ascii="宋体" w:hAnsi="宋体"/>
          <w:bCs/>
          <w:highlight w:val="none"/>
          <w:lang w:val="en-US" w:eastAsia="zh-CN"/>
        </w:rPr>
        <w:t>8</w:t>
      </w:r>
      <w:r>
        <w:rPr>
          <w:rFonts w:hint="eastAsia" w:ascii="宋体" w:hAnsi="宋体"/>
          <w:bCs/>
          <w:highlight w:val="none"/>
        </w:rPr>
        <w:t>:00至</w:t>
      </w:r>
      <w:r>
        <w:rPr>
          <w:rFonts w:hint="eastAsia" w:ascii="宋体" w:hAnsi="宋体"/>
          <w:bCs/>
          <w:highlight w:val="none"/>
          <w:lang w:val="en-US" w:eastAsia="zh-CN"/>
        </w:rPr>
        <w:t>8</w:t>
      </w:r>
      <w:r>
        <w:rPr>
          <w:rFonts w:hint="eastAsia" w:ascii="宋体" w:hAnsi="宋体"/>
          <w:bCs/>
          <w:highlight w:val="none"/>
        </w:rPr>
        <w:t>:30（北京时间）；</w:t>
      </w:r>
    </w:p>
    <w:p w14:paraId="30D5964F">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38FA0E06">
      <w:pPr>
        <w:spacing w:line="360" w:lineRule="auto"/>
        <w:ind w:firstLine="420" w:firstLineChars="200"/>
        <w:rPr>
          <w:rFonts w:ascii="宋体" w:hAnsi="宋体"/>
          <w:bCs/>
          <w:highlight w:val="none"/>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2</w:t>
      </w:r>
      <w:r>
        <w:rPr>
          <w:rFonts w:hint="eastAsia" w:ascii="宋体" w:hAnsi="宋体"/>
          <w:highlight w:val="none"/>
        </w:rPr>
        <w:t>月</w:t>
      </w:r>
      <w:r>
        <w:rPr>
          <w:rFonts w:hint="eastAsia" w:ascii="宋体" w:hAnsi="宋体"/>
          <w:highlight w:val="none"/>
          <w:lang w:val="en-US" w:eastAsia="zh-CN"/>
        </w:rPr>
        <w:t>5</w:t>
      </w:r>
      <w:r>
        <w:rPr>
          <w:rFonts w:hint="eastAsia" w:ascii="宋体" w:hAnsi="宋体"/>
          <w:highlight w:val="none"/>
        </w:rPr>
        <w:t>日</w:t>
      </w:r>
      <w:r>
        <w:rPr>
          <w:rFonts w:hint="eastAsia" w:ascii="宋体" w:hAnsi="宋体"/>
          <w:highlight w:val="none"/>
          <w:lang w:val="en-US" w:eastAsia="zh-CN"/>
        </w:rPr>
        <w:t>8</w:t>
      </w:r>
      <w:r>
        <w:rPr>
          <w:rFonts w:hint="eastAsia" w:ascii="宋体" w:hAnsi="宋体"/>
          <w:bCs/>
          <w:highlight w:val="none"/>
        </w:rPr>
        <w:t>:30（北京时间）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34F382FD">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2</w:t>
      </w:r>
      <w:r>
        <w:rPr>
          <w:rFonts w:hint="eastAsia" w:ascii="宋体" w:hAnsi="宋体"/>
          <w:highlight w:val="none"/>
        </w:rPr>
        <w:t>月</w:t>
      </w:r>
      <w:r>
        <w:rPr>
          <w:rFonts w:hint="eastAsia" w:ascii="宋体" w:hAnsi="宋体"/>
          <w:highlight w:val="none"/>
          <w:lang w:val="en-US" w:eastAsia="zh-CN"/>
        </w:rPr>
        <w:t>5</w:t>
      </w:r>
      <w:r>
        <w:rPr>
          <w:rFonts w:hint="eastAsia" w:ascii="宋体" w:hAnsi="宋体"/>
          <w:highlight w:val="none"/>
        </w:rPr>
        <w:t>日</w:t>
      </w:r>
      <w:r>
        <w:rPr>
          <w:rFonts w:hint="eastAsia" w:ascii="宋体" w:hAnsi="宋体"/>
          <w:highlight w:val="none"/>
          <w:lang w:val="en-US" w:eastAsia="zh-CN"/>
        </w:rPr>
        <w:t>8</w:t>
      </w:r>
      <w:r>
        <w:rPr>
          <w:rFonts w:hint="eastAsia" w:ascii="宋体" w:hAnsi="宋体"/>
          <w:bCs/>
          <w:highlight w:val="none"/>
        </w:rPr>
        <w:t>:30（北京时间）</w:t>
      </w:r>
    </w:p>
    <w:p w14:paraId="26E2EA36">
      <w:pPr>
        <w:spacing w:line="360" w:lineRule="auto"/>
        <w:ind w:firstLine="420" w:firstLineChars="200"/>
        <w:rPr>
          <w:rFonts w:ascii="宋体" w:hAnsi="宋体"/>
          <w:bCs/>
        </w:rPr>
      </w:pPr>
      <w:r>
        <w:rPr>
          <w:rFonts w:hint="eastAsia" w:ascii="宋体" w:hAnsi="宋体"/>
          <w:bCs/>
          <w:lang w:val="en-US" w:eastAsia="zh-CN"/>
        </w:rPr>
        <w:t>6</w:t>
      </w:r>
      <w:r>
        <w:rPr>
          <w:rFonts w:hint="eastAsia" w:ascii="宋体" w:hAnsi="宋体"/>
          <w:bCs/>
        </w:rPr>
        <w:t>、开标地点：</w:t>
      </w:r>
      <w:r>
        <w:rPr>
          <w:rFonts w:hint="eastAsia" w:ascii="宋体"/>
          <w:bCs/>
          <w:color w:val="auto"/>
          <w:szCs w:val="20"/>
          <w:highlight w:val="none"/>
          <w:lang w:val="en-US" w:eastAsia="zh-CN"/>
        </w:rPr>
        <w:t>深圳市福田区梅林街道中康路27号综合楼A栋501室</w:t>
      </w:r>
    </w:p>
    <w:p w14:paraId="6F59F47F">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9"/>
        <w:rPr>
          <w:rFonts w:ascii="宋体" w:hAnsi="宋体"/>
          <w:b/>
        </w:rPr>
      </w:pPr>
      <w:r>
        <w:rPr>
          <w:rFonts w:hint="eastAsia" w:ascii="宋体" w:hAnsi="宋体"/>
          <w:lang w:val="en-US" w:eastAsia="zh-CN"/>
        </w:rPr>
        <w:t>四</w:t>
      </w:r>
      <w:r>
        <w:rPr>
          <w:rFonts w:hint="eastAsia" w:ascii="宋体" w:hAnsi="宋体"/>
        </w:rPr>
        <w:t>、公告期限</w:t>
      </w:r>
    </w:p>
    <w:p w14:paraId="790F53A0">
      <w:pPr>
        <w:spacing w:line="360" w:lineRule="auto"/>
        <w:ind w:firstLine="420" w:firstLineChars="200"/>
        <w:rPr>
          <w:rFonts w:hint="eastAsia" w:ascii="宋体" w:hAnsi="宋体"/>
          <w:kern w:val="0"/>
        </w:rPr>
      </w:pPr>
      <w:r>
        <w:rPr>
          <w:rFonts w:hint="eastAsia" w:ascii="宋体" w:hAnsi="宋体"/>
          <w:kern w:val="0"/>
        </w:rPr>
        <w:t>自本公告发布之日起5个工作日。</w:t>
      </w:r>
    </w:p>
    <w:p w14:paraId="783EA265">
      <w:pPr>
        <w:pStyle w:val="32"/>
        <w:rPr>
          <w:rFonts w:hint="eastAsia"/>
          <w:lang w:val="en-US" w:eastAsia="zh-CN"/>
        </w:rPr>
      </w:pPr>
    </w:p>
    <w:p w14:paraId="0972B18F">
      <w:pPr>
        <w:numPr>
          <w:ilvl w:val="0"/>
          <w:numId w:val="6"/>
        </w:numPr>
        <w:spacing w:line="360" w:lineRule="auto"/>
        <w:ind w:firstLine="420" w:firstLineChars="200"/>
        <w:outlineLvl w:val="9"/>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6212F695">
      <w:pPr>
        <w:pStyle w:val="32"/>
        <w:rPr>
          <w:rFonts w:hint="default"/>
          <w:lang w:val="en-US" w:eastAsia="zh-CN"/>
        </w:rPr>
      </w:pPr>
    </w:p>
    <w:p w14:paraId="4F2DF4E0">
      <w:pPr>
        <w:numPr>
          <w:ilvl w:val="0"/>
          <w:numId w:val="6"/>
        </w:numPr>
        <w:spacing w:line="360" w:lineRule="auto"/>
        <w:ind w:firstLine="420" w:firstLineChars="200"/>
        <w:outlineLvl w:val="9"/>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6A64976">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2、投标人有义务在征集活动期间浏览深圳市福田区第二人民医院网站（https://www.ft2yy.cn/）。相关公告在上述媒体上公布之日即视为有效送达，不再另行通知。</w:t>
      </w:r>
    </w:p>
    <w:p w14:paraId="14DB6B97">
      <w:pPr>
        <w:pStyle w:val="32"/>
        <w:rPr>
          <w:rFonts w:hint="eastAsia"/>
          <w:lang w:val="en-US" w:eastAsia="zh-CN"/>
        </w:rPr>
      </w:pPr>
    </w:p>
    <w:p w14:paraId="3019BE1D">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七、对本次征集提出询问，请按以下方式联系。</w:t>
      </w:r>
    </w:p>
    <w:p w14:paraId="4F679AC3">
      <w:pPr>
        <w:numPr>
          <w:ilvl w:val="0"/>
          <w:numId w:val="0"/>
        </w:numPr>
        <w:spacing w:line="360" w:lineRule="auto"/>
        <w:ind w:firstLine="420" w:firstLineChars="200"/>
        <w:rPr>
          <w:rFonts w:hint="default" w:ascii="宋体" w:hAnsi="宋体"/>
          <w:lang w:val="en-US" w:eastAsia="zh-CN"/>
        </w:rPr>
      </w:pPr>
      <w:r>
        <w:rPr>
          <w:rFonts w:hint="eastAsia" w:ascii="宋体" w:hAnsi="宋体"/>
          <w:lang w:val="en-US" w:eastAsia="zh-CN"/>
        </w:rPr>
        <w:t>医学装备部联系人：曾老师 0755-83116181</w:t>
      </w:r>
    </w:p>
    <w:p w14:paraId="4B886C7A">
      <w:pPr>
        <w:numPr>
          <w:ilvl w:val="0"/>
          <w:numId w:val="0"/>
        </w:numPr>
        <w:spacing w:line="360" w:lineRule="auto"/>
        <w:ind w:firstLine="420" w:firstLineChars="200"/>
        <w:rPr>
          <w:rFonts w:ascii="宋体" w:hAnsi="宋体"/>
          <w:szCs w:val="21"/>
          <w:u w:val="single"/>
        </w:rPr>
      </w:pPr>
      <w:r>
        <w:rPr>
          <w:rFonts w:hint="eastAsia" w:ascii="宋体" w:hAnsi="宋体"/>
          <w:lang w:val="en-US" w:eastAsia="zh-CN"/>
        </w:rPr>
        <w:t>招标采购办联系人：吴老师 0755-83279817</w:t>
      </w: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bookmarkEnd w:id="4"/>
    <w:bookmarkEnd w:id="5"/>
    <w:bookmarkEnd w:id="6"/>
    <w:p w14:paraId="0C8EBE8C">
      <w:pPr>
        <w:spacing w:line="400" w:lineRule="exact"/>
        <w:ind w:firstLine="420" w:firstLineChars="200"/>
        <w:jc w:val="right"/>
        <w:rPr>
          <w:rFonts w:hint="eastAsia" w:ascii="宋体" w:hAnsi="宋体"/>
          <w:highlight w:val="none"/>
        </w:rPr>
      </w:pPr>
      <w:bookmarkStart w:id="9" w:name="_Toc24468"/>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1</w:t>
      </w:r>
      <w:r>
        <w:rPr>
          <w:rFonts w:hint="eastAsia" w:ascii="宋体" w:hAnsi="宋体"/>
          <w:highlight w:val="none"/>
        </w:rPr>
        <w:t>月</w:t>
      </w:r>
      <w:r>
        <w:rPr>
          <w:rFonts w:hint="eastAsia" w:ascii="宋体" w:hAnsi="宋体"/>
          <w:highlight w:val="none"/>
          <w:lang w:val="en-US" w:eastAsia="zh-CN"/>
        </w:rPr>
        <w:t>21</w:t>
      </w:r>
      <w:r>
        <w:rPr>
          <w:rFonts w:hint="eastAsia" w:ascii="宋体" w:hAnsi="宋体"/>
          <w:highlight w:val="none"/>
        </w:rPr>
        <w:t>日</w:t>
      </w:r>
    </w:p>
    <w:p w14:paraId="1BE84547">
      <w:pPr>
        <w:widowControl/>
        <w:numPr>
          <w:ilvl w:val="0"/>
          <w:numId w:val="3"/>
        </w:numPr>
        <w:ind w:left="0" w:leftChars="0" w:firstLine="0" w:firstLineChars="0"/>
        <w:jc w:val="center"/>
        <w:outlineLvl w:val="0"/>
        <w:rPr>
          <w:rFonts w:hint="eastAsia" w:asciiTheme="majorEastAsia" w:hAnsiTheme="majorEastAsia" w:eastAsiaTheme="majorEastAsia"/>
          <w:sz w:val="32"/>
          <w:szCs w:val="32"/>
          <w:lang w:val="en-US" w:eastAsia="zh-CN"/>
        </w:rPr>
      </w:pPr>
      <w:r>
        <w:rPr>
          <w:rFonts w:hint="eastAsia" w:asciiTheme="majorEastAsia" w:hAnsiTheme="majorEastAsia" w:eastAsiaTheme="majorEastAsia"/>
          <w:sz w:val="32"/>
          <w:szCs w:val="32"/>
          <w:lang w:val="en-US" w:eastAsia="zh-CN"/>
        </w:rPr>
        <w:t>用户需求书</w:t>
      </w:r>
      <w:bookmarkEnd w:id="9"/>
    </w:p>
    <w:p w14:paraId="1A0964E7">
      <w:pPr>
        <w:snapToGrid w:val="0"/>
        <w:spacing w:line="360" w:lineRule="auto"/>
        <w:rPr>
          <w:rFonts w:ascii="宋体"/>
          <w:b/>
          <w:bCs/>
          <w:szCs w:val="20"/>
        </w:rPr>
      </w:pPr>
      <w:r>
        <w:rPr>
          <w:rFonts w:hint="eastAsia" w:ascii="宋体"/>
          <w:b/>
          <w:bCs/>
          <w:szCs w:val="20"/>
        </w:rPr>
        <w:t>说明：</w:t>
      </w:r>
    </w:p>
    <w:p w14:paraId="41B0864D">
      <w:pPr>
        <w:numPr>
          <w:ilvl w:val="0"/>
          <w:numId w:val="7"/>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7"/>
        </w:numPr>
        <w:snapToGrid w:val="0"/>
        <w:spacing w:line="360" w:lineRule="auto"/>
        <w:ind w:left="422" w:hanging="422" w:hangingChars="200"/>
        <w:rPr>
          <w:rFonts w:ascii="宋体"/>
          <w:b/>
          <w:bCs/>
          <w:color w:val="auto"/>
          <w:szCs w:val="20"/>
        </w:rPr>
      </w:pPr>
      <w:r>
        <w:rPr>
          <w:rFonts w:hint="eastAsia" w:asciiTheme="minorEastAsia" w:hAnsiTheme="minorEastAsia" w:eastAsiaTheme="minorEastAsia"/>
          <w:b/>
          <w:bCs/>
          <w:color w:val="auto"/>
          <w:szCs w:val="21"/>
        </w:rPr>
        <w:t>用户需求书中打</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号条款为实质性条款，有任何一条负偏离则导致无效投标。</w:t>
      </w:r>
    </w:p>
    <w:p w14:paraId="4D99824F">
      <w:pPr>
        <w:numPr>
          <w:ilvl w:val="0"/>
          <w:numId w:val="7"/>
        </w:numPr>
        <w:snapToGrid w:val="0"/>
        <w:spacing w:line="360" w:lineRule="auto"/>
        <w:ind w:left="422" w:hanging="422" w:hangingChars="200"/>
        <w:rPr>
          <w:rFonts w:ascii="宋体"/>
          <w:b/>
          <w:bCs/>
          <w:color w:val="auto"/>
          <w:szCs w:val="20"/>
        </w:rPr>
      </w:pPr>
      <w:r>
        <w:rPr>
          <w:rFonts w:hint="eastAsia" w:ascii="宋体"/>
          <w:b/>
          <w:bCs/>
          <w:color w:val="auto"/>
          <w:szCs w:val="20"/>
        </w:rPr>
        <w:t>用户需求书中打</w:t>
      </w:r>
      <w:r>
        <w:rPr>
          <w:rFonts w:ascii="宋体"/>
          <w:b/>
          <w:bCs/>
          <w:color w:val="auto"/>
          <w:szCs w:val="20"/>
        </w:rPr>
        <w:t>“</w:t>
      </w:r>
      <w:r>
        <w:rPr>
          <w:rFonts w:hint="eastAsia" w:ascii="宋体"/>
          <w:b/>
          <w:bCs/>
          <w:color w:val="auto"/>
          <w:szCs w:val="20"/>
        </w:rPr>
        <w:t>▲</w:t>
      </w:r>
      <w:r>
        <w:rPr>
          <w:rFonts w:ascii="宋体"/>
          <w:b/>
          <w:bCs/>
          <w:color w:val="auto"/>
          <w:szCs w:val="20"/>
        </w:rPr>
        <w:t>”</w:t>
      </w:r>
      <w:r>
        <w:rPr>
          <w:rFonts w:hint="eastAsia" w:ascii="宋体"/>
          <w:b/>
          <w:bCs/>
          <w:color w:val="auto"/>
          <w:szCs w:val="20"/>
        </w:rPr>
        <w:t>号条款为重要技术参数，但不作为无效投标条款。</w:t>
      </w:r>
    </w:p>
    <w:p w14:paraId="5AAF2DBC">
      <w:pPr>
        <w:pStyle w:val="10"/>
        <w:numPr>
          <w:ilvl w:val="0"/>
          <w:numId w:val="8"/>
        </w:numPr>
        <w:tabs>
          <w:tab w:val="left" w:pos="540"/>
        </w:tabs>
        <w:adjustRightInd w:val="0"/>
        <w:snapToGrid w:val="0"/>
        <w:spacing w:line="360" w:lineRule="auto"/>
        <w:ind w:left="420" w:leftChars="0" w:hanging="420" w:firstLineChars="0"/>
        <w:outlineLvl w:val="9"/>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7"/>
        <w:tblW w:w="9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93"/>
        <w:gridCol w:w="1428"/>
        <w:gridCol w:w="2183"/>
        <w:gridCol w:w="2183"/>
        <w:gridCol w:w="1195"/>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311" w:type="dxa"/>
            <w:shd w:val="clear" w:color="auto" w:fill="EEECE1"/>
            <w:vAlign w:val="center"/>
          </w:tcPr>
          <w:p w14:paraId="515F1896">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693" w:type="dxa"/>
            <w:shd w:val="clear" w:color="auto" w:fill="EEECE1"/>
            <w:vAlign w:val="center"/>
          </w:tcPr>
          <w:p w14:paraId="6E527C4A">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1428" w:type="dxa"/>
            <w:shd w:val="clear" w:color="auto" w:fill="EEECE1"/>
            <w:vAlign w:val="center"/>
          </w:tcPr>
          <w:p w14:paraId="1F7013D0">
            <w:pPr>
              <w:keepNext w:val="0"/>
              <w:keepLines w:val="0"/>
              <w:suppressLineNumbers w:val="0"/>
              <w:spacing w:before="0" w:beforeAutospacing="0" w:after="0" w:afterAutospacing="0"/>
              <w:ind w:left="0" w:right="0"/>
              <w:jc w:val="center"/>
              <w:rPr>
                <w:rFonts w:hint="eastAsia" w:ascii="宋体" w:hAnsi="宋体" w:eastAsia="宋体" w:cs="宋体"/>
                <w:b/>
                <w:color w:val="auto"/>
                <w:szCs w:val="21"/>
                <w:lang w:eastAsia="zh-CN"/>
              </w:rPr>
            </w:pPr>
            <w:r>
              <w:rPr>
                <w:rFonts w:hint="eastAsia" w:ascii="宋体" w:hAnsi="宋体" w:eastAsia="宋体" w:cs="宋体"/>
                <w:b/>
                <w:color w:val="auto"/>
                <w:szCs w:val="21"/>
                <w:lang w:val="en-US" w:eastAsia="zh-CN"/>
              </w:rPr>
              <w:t>合同履行  期限</w:t>
            </w:r>
          </w:p>
        </w:tc>
        <w:tc>
          <w:tcPr>
            <w:tcW w:w="2183" w:type="dxa"/>
            <w:shd w:val="clear" w:color="auto" w:fill="EEECE1"/>
            <w:vAlign w:val="center"/>
          </w:tcPr>
          <w:p w14:paraId="735AF6BC">
            <w:pPr>
              <w:keepNext w:val="0"/>
              <w:keepLines w:val="0"/>
              <w:suppressLineNumbers w:val="0"/>
              <w:spacing w:before="0" w:beforeAutospacing="0" w:after="0" w:afterAutospacing="0"/>
              <w:ind w:left="0" w:right="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预算金额</w:t>
            </w:r>
          </w:p>
        </w:tc>
        <w:tc>
          <w:tcPr>
            <w:tcW w:w="2183" w:type="dxa"/>
            <w:shd w:val="clear" w:color="auto" w:fill="EEECE1"/>
            <w:vAlign w:val="center"/>
          </w:tcPr>
          <w:p w14:paraId="77A1679F">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195" w:type="dxa"/>
            <w:shd w:val="clear" w:color="auto" w:fill="EEECE1"/>
            <w:vAlign w:val="center"/>
          </w:tcPr>
          <w:p w14:paraId="20EB26C1">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311" w:type="dxa"/>
            <w:vAlign w:val="center"/>
          </w:tcPr>
          <w:p w14:paraId="262358C2">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口腔耗材B包</w:t>
            </w:r>
          </w:p>
        </w:tc>
        <w:tc>
          <w:tcPr>
            <w:tcW w:w="693" w:type="dxa"/>
            <w:vAlign w:val="center"/>
          </w:tcPr>
          <w:p w14:paraId="390AF9D4">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1批</w:t>
            </w:r>
          </w:p>
        </w:tc>
        <w:tc>
          <w:tcPr>
            <w:tcW w:w="1428" w:type="dxa"/>
            <w:vAlign w:val="center"/>
          </w:tcPr>
          <w:p w14:paraId="36A3EC96">
            <w:pPr>
              <w:pStyle w:val="29"/>
              <w:keepLines w:val="0"/>
              <w:suppressLineNumbers w:val="0"/>
              <w:spacing w:beforeAutospacing="0" w:afterAutospacing="0" w:line="240" w:lineRule="auto"/>
              <w:ind w:left="0" w:right="0"/>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24个月</w:t>
            </w:r>
          </w:p>
        </w:tc>
        <w:tc>
          <w:tcPr>
            <w:tcW w:w="2183" w:type="dxa"/>
            <w:vAlign w:val="center"/>
          </w:tcPr>
          <w:p w14:paraId="26A59F7D">
            <w:pPr>
              <w:pStyle w:val="29"/>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人民币102533.18元</w:t>
            </w:r>
          </w:p>
        </w:tc>
        <w:tc>
          <w:tcPr>
            <w:tcW w:w="2183" w:type="dxa"/>
            <w:vAlign w:val="center"/>
          </w:tcPr>
          <w:p w14:paraId="113A87B9">
            <w:pPr>
              <w:pStyle w:val="29"/>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人民币102533.18元</w:t>
            </w:r>
          </w:p>
        </w:tc>
        <w:tc>
          <w:tcPr>
            <w:tcW w:w="1195" w:type="dxa"/>
            <w:vAlign w:val="center"/>
          </w:tcPr>
          <w:p w14:paraId="6694BA19">
            <w:pPr>
              <w:pStyle w:val="29"/>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2E6EEF9F">
      <w:pPr>
        <w:pStyle w:val="10"/>
        <w:tabs>
          <w:tab w:val="left" w:pos="540"/>
        </w:tabs>
        <w:adjustRightInd w:val="0"/>
        <w:snapToGrid w:val="0"/>
        <w:spacing w:line="360" w:lineRule="auto"/>
        <w:rPr>
          <w:rFonts w:hAnsi="宋体"/>
          <w:b/>
          <w:color w:val="auto"/>
        </w:rPr>
      </w:pPr>
    </w:p>
    <w:p w14:paraId="705CA8FA">
      <w:pPr>
        <w:pStyle w:val="10"/>
        <w:numPr>
          <w:ilvl w:val="0"/>
          <w:numId w:val="8"/>
        </w:numPr>
        <w:tabs>
          <w:tab w:val="left" w:pos="540"/>
        </w:tabs>
        <w:adjustRightInd w:val="0"/>
        <w:snapToGrid w:val="0"/>
        <w:spacing w:line="360" w:lineRule="auto"/>
        <w:ind w:left="420" w:leftChars="0" w:hanging="420" w:firstLineChars="0"/>
        <w:outlineLvl w:val="9"/>
        <w:rPr>
          <w:rFonts w:hAnsi="宋体"/>
          <w:b/>
          <w:color w:val="auto"/>
        </w:rPr>
      </w:pPr>
      <w:r>
        <w:rPr>
          <w:rFonts w:hint="eastAsia" w:asciiTheme="minorEastAsia" w:hAnsiTheme="minorEastAsia" w:eastAsiaTheme="minorEastAsia"/>
          <w:b/>
          <w:bCs/>
          <w:color w:val="auto"/>
          <w:szCs w:val="21"/>
        </w:rPr>
        <w:t>★</w:t>
      </w:r>
      <w:r>
        <w:rPr>
          <w:rFonts w:hint="eastAsia" w:hAnsi="宋体"/>
          <w:b/>
          <w:color w:val="auto"/>
          <w:lang w:val="en-US" w:eastAsia="zh-CN"/>
        </w:rPr>
        <w:t>货品清单及</w:t>
      </w:r>
      <w:r>
        <w:rPr>
          <w:rFonts w:hint="eastAsia" w:hAnsi="宋体"/>
          <w:b/>
          <w:color w:val="auto"/>
        </w:rPr>
        <w:t>技术要求：</w:t>
      </w:r>
    </w:p>
    <w:tbl>
      <w:tblPr>
        <w:tblStyle w:val="17"/>
        <w:tblW w:w="1081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422"/>
        <w:gridCol w:w="2636"/>
        <w:gridCol w:w="1227"/>
        <w:gridCol w:w="996"/>
        <w:gridCol w:w="1281"/>
        <w:gridCol w:w="985"/>
        <w:gridCol w:w="1268"/>
        <w:gridCol w:w="1000"/>
      </w:tblGrid>
      <w:tr w14:paraId="014AD7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EEECE1" w:themeFill="background2"/>
            <w:vAlign w:val="center"/>
          </w:tcPr>
          <w:p w14:paraId="640AE4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2636" w:type="dxa"/>
            <w:tcBorders>
              <w:tl2br w:val="nil"/>
              <w:tr2bl w:val="nil"/>
            </w:tcBorders>
            <w:shd w:val="clear" w:color="auto" w:fill="EEECE1" w:themeFill="background2"/>
            <w:vAlign w:val="center"/>
          </w:tcPr>
          <w:p w14:paraId="4D1458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技术要求/主要需求</w:t>
            </w:r>
          </w:p>
        </w:tc>
        <w:tc>
          <w:tcPr>
            <w:tcW w:w="1227" w:type="dxa"/>
            <w:tcBorders>
              <w:tl2br w:val="nil"/>
              <w:tr2bl w:val="nil"/>
            </w:tcBorders>
            <w:shd w:val="clear" w:color="auto" w:fill="EEECE1" w:themeFill="background2"/>
            <w:vAlign w:val="center"/>
          </w:tcPr>
          <w:p w14:paraId="0E3D47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规格</w:t>
            </w:r>
          </w:p>
        </w:tc>
        <w:tc>
          <w:tcPr>
            <w:tcW w:w="996" w:type="dxa"/>
            <w:tcBorders>
              <w:tl2br w:val="nil"/>
              <w:tr2bl w:val="nil"/>
            </w:tcBorders>
            <w:shd w:val="clear" w:color="auto" w:fill="EEECE1" w:themeFill="background2"/>
            <w:vAlign w:val="center"/>
          </w:tcPr>
          <w:p w14:paraId="7B6DD7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最小计量单位</w:t>
            </w:r>
          </w:p>
        </w:tc>
        <w:tc>
          <w:tcPr>
            <w:tcW w:w="1281" w:type="dxa"/>
            <w:tcBorders>
              <w:tl2br w:val="nil"/>
              <w:tr2bl w:val="nil"/>
            </w:tcBorders>
            <w:shd w:val="clear" w:color="auto" w:fill="EEECE1" w:themeFill="background2"/>
            <w:vAlign w:val="center"/>
          </w:tcPr>
          <w:p w14:paraId="7A555E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最小单位预算价格（元）</w:t>
            </w:r>
          </w:p>
        </w:tc>
        <w:tc>
          <w:tcPr>
            <w:tcW w:w="985" w:type="dxa"/>
            <w:tcBorders>
              <w:tl2br w:val="nil"/>
              <w:tr2bl w:val="nil"/>
            </w:tcBorders>
            <w:shd w:val="clear" w:color="auto" w:fill="EEECE1" w:themeFill="background2"/>
            <w:vAlign w:val="center"/>
          </w:tcPr>
          <w:p w14:paraId="1A69BE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预计年使用量</w:t>
            </w:r>
          </w:p>
        </w:tc>
        <w:tc>
          <w:tcPr>
            <w:tcW w:w="1268" w:type="dxa"/>
            <w:tcBorders>
              <w:tl2br w:val="nil"/>
              <w:tr2bl w:val="nil"/>
            </w:tcBorders>
            <w:shd w:val="clear" w:color="auto" w:fill="EEECE1" w:themeFill="background2"/>
            <w:vAlign w:val="center"/>
          </w:tcPr>
          <w:p w14:paraId="73CFF5ED">
            <w:pPr>
              <w:keepNext w:val="0"/>
              <w:keepLines w:val="0"/>
              <w:widowControl/>
              <w:suppressLineNumbers w:val="0"/>
              <w:spacing w:before="0" w:beforeAutospacing="0" w:after="0" w:afterAutospacing="0"/>
              <w:ind w:left="0" w:right="0"/>
              <w:jc w:val="center"/>
              <w:textAlignment w:val="center"/>
              <w:rPr>
                <w:rFonts w:hint="eastAsia" w:ascii="宋体" w:hAnsi="宋体" w:cs="宋体"/>
                <w:b/>
                <w:bCs/>
                <w:kern w:val="0"/>
                <w:szCs w:val="21"/>
              </w:rPr>
            </w:pPr>
            <w:r>
              <w:rPr>
                <w:rFonts w:hint="eastAsia" w:ascii="宋体" w:hAnsi="宋体" w:cs="宋体"/>
                <w:b/>
                <w:bCs/>
                <w:kern w:val="0"/>
                <w:szCs w:val="21"/>
              </w:rPr>
              <w:t>年</w:t>
            </w:r>
            <w:r>
              <w:rPr>
                <w:rFonts w:hint="eastAsia" w:ascii="宋体" w:hAnsi="宋体" w:cs="宋体"/>
                <w:b/>
                <w:bCs/>
                <w:kern w:val="0"/>
                <w:szCs w:val="21"/>
                <w:lang w:val="en-US" w:eastAsia="zh-CN"/>
              </w:rPr>
              <w:t>预计</w:t>
            </w:r>
            <w:r>
              <w:rPr>
                <w:rFonts w:hint="eastAsia" w:ascii="宋体" w:hAnsi="宋体" w:cs="宋体"/>
                <w:b/>
                <w:bCs/>
                <w:kern w:val="0"/>
                <w:szCs w:val="21"/>
              </w:rPr>
              <w:t>使用金额（元）</w:t>
            </w:r>
          </w:p>
        </w:tc>
        <w:tc>
          <w:tcPr>
            <w:tcW w:w="1000" w:type="dxa"/>
            <w:tcBorders>
              <w:tl2br w:val="nil"/>
              <w:tr2bl w:val="nil"/>
            </w:tcBorders>
            <w:shd w:val="clear" w:color="auto" w:fill="EEECE1" w:themeFill="background2"/>
            <w:vAlign w:val="center"/>
          </w:tcPr>
          <w:p w14:paraId="1CB73338">
            <w:pPr>
              <w:keepNext w:val="0"/>
              <w:keepLines w:val="0"/>
              <w:widowControl/>
              <w:suppressLineNumbers w:val="0"/>
              <w:spacing w:before="0" w:beforeAutospacing="0" w:after="0" w:afterAutospacing="0"/>
              <w:ind w:left="0" w:right="0"/>
              <w:jc w:val="center"/>
              <w:textAlignment w:val="center"/>
              <w:rPr>
                <w:rFonts w:hint="eastAsia" w:ascii="宋体" w:hAnsi="宋体" w:cs="宋体" w:eastAsiaTheme="minorEastAsia"/>
                <w:b/>
                <w:bCs/>
                <w:kern w:val="0"/>
                <w:szCs w:val="21"/>
                <w:lang w:val="en-US" w:eastAsia="zh-CN"/>
              </w:rPr>
            </w:pPr>
            <w:r>
              <w:rPr>
                <w:rFonts w:hint="eastAsia" w:ascii="宋体" w:hAnsi="宋体" w:cs="宋体"/>
                <w:b/>
                <w:bCs/>
                <w:kern w:val="0"/>
                <w:szCs w:val="21"/>
                <w:lang w:val="en-US" w:eastAsia="zh-CN"/>
              </w:rPr>
              <w:t>是否接受进口</w:t>
            </w:r>
          </w:p>
        </w:tc>
      </w:tr>
      <w:tr w14:paraId="7F0F53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1422" w:type="dxa"/>
            <w:tcBorders>
              <w:tl2br w:val="nil"/>
              <w:tr2bl w:val="nil"/>
            </w:tcBorders>
            <w:shd w:val="clear" w:color="auto" w:fill="FFFFFF"/>
            <w:vAlign w:val="center"/>
          </w:tcPr>
          <w:p w14:paraId="288A3A1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唇颊牵开器(口角拉钩)</w:t>
            </w:r>
          </w:p>
        </w:tc>
        <w:tc>
          <w:tcPr>
            <w:tcW w:w="2636" w:type="dxa"/>
            <w:tcBorders>
              <w:tl2br w:val="nil"/>
              <w:tr2bl w:val="nil"/>
            </w:tcBorders>
            <w:shd w:val="clear" w:color="auto" w:fill="FFFFFF"/>
            <w:vAlign w:val="center"/>
          </w:tcPr>
          <w:p w14:paraId="58E57E5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用于口腔治疗操作中移开软组织，暴露视野。</w:t>
            </w:r>
          </w:p>
        </w:tc>
        <w:tc>
          <w:tcPr>
            <w:tcW w:w="1227" w:type="dxa"/>
            <w:tcBorders>
              <w:tl2br w:val="nil"/>
              <w:tr2bl w:val="nil"/>
            </w:tcBorders>
            <w:shd w:val="clear" w:color="auto" w:fill="FFFFFF"/>
            <w:vAlign w:val="center"/>
          </w:tcPr>
          <w:p w14:paraId="663045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口角拉钩  大号</w:t>
            </w:r>
          </w:p>
        </w:tc>
        <w:tc>
          <w:tcPr>
            <w:tcW w:w="996" w:type="dxa"/>
            <w:tcBorders>
              <w:tl2br w:val="nil"/>
              <w:tr2bl w:val="nil"/>
            </w:tcBorders>
            <w:shd w:val="clear" w:color="auto" w:fill="auto"/>
            <w:vAlign w:val="center"/>
          </w:tcPr>
          <w:p w14:paraId="2A61A83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auto"/>
            <w:vAlign w:val="center"/>
          </w:tcPr>
          <w:p w14:paraId="6DE5C44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17.4</w:t>
            </w:r>
          </w:p>
        </w:tc>
        <w:tc>
          <w:tcPr>
            <w:tcW w:w="985" w:type="dxa"/>
            <w:tcBorders>
              <w:tl2br w:val="nil"/>
              <w:tr2bl w:val="nil"/>
            </w:tcBorders>
            <w:shd w:val="clear" w:color="auto" w:fill="auto"/>
            <w:vAlign w:val="center"/>
          </w:tcPr>
          <w:p w14:paraId="70F9B9B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4FCBA0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FFFFFF"/>
            <w:vAlign w:val="center"/>
          </w:tcPr>
          <w:p w14:paraId="3BE934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32ADE3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FFFFFF"/>
            <w:vAlign w:val="center"/>
          </w:tcPr>
          <w:p w14:paraId="2976537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唇颊牵开器(口角拉钩)</w:t>
            </w:r>
          </w:p>
        </w:tc>
        <w:tc>
          <w:tcPr>
            <w:tcW w:w="2636" w:type="dxa"/>
            <w:tcBorders>
              <w:tl2br w:val="nil"/>
              <w:tr2bl w:val="nil"/>
            </w:tcBorders>
            <w:shd w:val="clear" w:color="auto" w:fill="FFFFFF"/>
            <w:vAlign w:val="center"/>
          </w:tcPr>
          <w:p w14:paraId="571792A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用于口腔治疗操作中移开软组织，暴露视野。</w:t>
            </w:r>
          </w:p>
        </w:tc>
        <w:tc>
          <w:tcPr>
            <w:tcW w:w="1227" w:type="dxa"/>
            <w:tcBorders>
              <w:tl2br w:val="nil"/>
              <w:tr2bl w:val="nil"/>
            </w:tcBorders>
            <w:shd w:val="clear" w:color="auto" w:fill="FFFFFF"/>
            <w:vAlign w:val="center"/>
          </w:tcPr>
          <w:p w14:paraId="0F5294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口角拉钩  小号</w:t>
            </w:r>
          </w:p>
        </w:tc>
        <w:tc>
          <w:tcPr>
            <w:tcW w:w="996" w:type="dxa"/>
            <w:tcBorders>
              <w:tl2br w:val="nil"/>
              <w:tr2bl w:val="nil"/>
            </w:tcBorders>
            <w:shd w:val="clear" w:color="auto" w:fill="auto"/>
            <w:vAlign w:val="center"/>
          </w:tcPr>
          <w:p w14:paraId="6C81DC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auto"/>
            <w:vAlign w:val="center"/>
          </w:tcPr>
          <w:p w14:paraId="79466A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16.8</w:t>
            </w:r>
          </w:p>
        </w:tc>
        <w:tc>
          <w:tcPr>
            <w:tcW w:w="985" w:type="dxa"/>
            <w:tcBorders>
              <w:tl2br w:val="nil"/>
              <w:tr2bl w:val="nil"/>
            </w:tcBorders>
            <w:shd w:val="clear" w:color="auto" w:fill="auto"/>
            <w:vAlign w:val="center"/>
          </w:tcPr>
          <w:p w14:paraId="6D1CA5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2A4A29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FFFFFF"/>
            <w:vAlign w:val="center"/>
          </w:tcPr>
          <w:p w14:paraId="334CCB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6E8607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2E7F5CE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唇颊牵开器(唇部拉钩)</w:t>
            </w:r>
          </w:p>
        </w:tc>
        <w:tc>
          <w:tcPr>
            <w:tcW w:w="2636" w:type="dxa"/>
            <w:tcBorders>
              <w:tl2br w:val="nil"/>
              <w:tr2bl w:val="nil"/>
            </w:tcBorders>
            <w:shd w:val="clear" w:color="auto" w:fill="auto"/>
            <w:vAlign w:val="center"/>
          </w:tcPr>
          <w:p w14:paraId="72C4E8D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用于口腔治疗操作中移开软组织，暴露视野。</w:t>
            </w:r>
          </w:p>
        </w:tc>
        <w:tc>
          <w:tcPr>
            <w:tcW w:w="1227" w:type="dxa"/>
            <w:tcBorders>
              <w:tl2br w:val="nil"/>
              <w:tr2bl w:val="nil"/>
            </w:tcBorders>
            <w:shd w:val="clear" w:color="auto" w:fill="auto"/>
            <w:vAlign w:val="center"/>
          </w:tcPr>
          <w:p w14:paraId="36809F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70605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auto"/>
            <w:vAlign w:val="center"/>
          </w:tcPr>
          <w:p w14:paraId="7D9CE2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w:t>
            </w:r>
          </w:p>
        </w:tc>
        <w:tc>
          <w:tcPr>
            <w:tcW w:w="985" w:type="dxa"/>
            <w:tcBorders>
              <w:tl2br w:val="nil"/>
              <w:tr2bl w:val="nil"/>
            </w:tcBorders>
            <w:shd w:val="clear" w:color="auto" w:fill="auto"/>
            <w:vAlign w:val="center"/>
          </w:tcPr>
          <w:p w14:paraId="260297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7A1BB3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212A33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A7B26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6350C9B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唇颊牵开器(口角拉钩)</w:t>
            </w:r>
          </w:p>
        </w:tc>
        <w:tc>
          <w:tcPr>
            <w:tcW w:w="2636" w:type="dxa"/>
            <w:tcBorders>
              <w:tl2br w:val="nil"/>
              <w:tr2bl w:val="nil"/>
            </w:tcBorders>
            <w:shd w:val="clear" w:color="auto" w:fill="auto"/>
            <w:vAlign w:val="center"/>
          </w:tcPr>
          <w:p w14:paraId="4688C4E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用于口腔治疗操作中移开软组织，暴露视野。</w:t>
            </w:r>
          </w:p>
        </w:tc>
        <w:tc>
          <w:tcPr>
            <w:tcW w:w="1227" w:type="dxa"/>
            <w:tcBorders>
              <w:tl2br w:val="nil"/>
              <w:tr2bl w:val="nil"/>
            </w:tcBorders>
            <w:shd w:val="clear" w:color="auto" w:fill="auto"/>
            <w:vAlign w:val="center"/>
          </w:tcPr>
          <w:p w14:paraId="300A0E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口角拉钩  侧方</w:t>
            </w:r>
          </w:p>
        </w:tc>
        <w:tc>
          <w:tcPr>
            <w:tcW w:w="996" w:type="dxa"/>
            <w:tcBorders>
              <w:tl2br w:val="nil"/>
              <w:tr2bl w:val="nil"/>
            </w:tcBorders>
            <w:shd w:val="clear" w:color="auto" w:fill="auto"/>
            <w:vAlign w:val="center"/>
          </w:tcPr>
          <w:p w14:paraId="5F9976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auto"/>
            <w:vAlign w:val="center"/>
          </w:tcPr>
          <w:p w14:paraId="76CD7F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985" w:type="dxa"/>
            <w:tcBorders>
              <w:tl2br w:val="nil"/>
              <w:tr2bl w:val="nil"/>
            </w:tcBorders>
            <w:shd w:val="clear" w:color="auto" w:fill="auto"/>
            <w:vAlign w:val="center"/>
          </w:tcPr>
          <w:p w14:paraId="2D1038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5A7D33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383696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6D3F50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3EC5662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唇颊牵开器(唇颊拉钩)</w:t>
            </w:r>
          </w:p>
        </w:tc>
        <w:tc>
          <w:tcPr>
            <w:tcW w:w="2636" w:type="dxa"/>
            <w:tcBorders>
              <w:tl2br w:val="nil"/>
              <w:tr2bl w:val="nil"/>
            </w:tcBorders>
            <w:shd w:val="clear" w:color="auto" w:fill="auto"/>
            <w:vAlign w:val="center"/>
          </w:tcPr>
          <w:p w14:paraId="6D706A1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用于口腔治疗操作中移开软组织，暴露视野。</w:t>
            </w:r>
          </w:p>
        </w:tc>
        <w:tc>
          <w:tcPr>
            <w:tcW w:w="1227" w:type="dxa"/>
            <w:tcBorders>
              <w:tl2br w:val="nil"/>
              <w:tr2bl w:val="nil"/>
            </w:tcBorders>
            <w:shd w:val="clear" w:color="auto" w:fill="auto"/>
            <w:vAlign w:val="center"/>
          </w:tcPr>
          <w:p w14:paraId="7D4FAC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7E2F30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auto"/>
            <w:vAlign w:val="center"/>
          </w:tcPr>
          <w:p w14:paraId="74E95E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288</w:t>
            </w:r>
          </w:p>
        </w:tc>
        <w:tc>
          <w:tcPr>
            <w:tcW w:w="985" w:type="dxa"/>
            <w:tcBorders>
              <w:tl2br w:val="nil"/>
              <w:tr2bl w:val="nil"/>
            </w:tcBorders>
            <w:shd w:val="clear" w:color="auto" w:fill="auto"/>
            <w:vAlign w:val="center"/>
          </w:tcPr>
          <w:p w14:paraId="3BF823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356194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3C37B0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AC38F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6AE34AE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口外正畸牵引装置(前方牵引器)</w:t>
            </w:r>
          </w:p>
        </w:tc>
        <w:tc>
          <w:tcPr>
            <w:tcW w:w="2636" w:type="dxa"/>
            <w:tcBorders>
              <w:tl2br w:val="nil"/>
              <w:tr2bl w:val="nil"/>
            </w:tcBorders>
            <w:shd w:val="clear" w:color="auto" w:fill="auto"/>
            <w:vAlign w:val="center"/>
          </w:tcPr>
          <w:p w14:paraId="531F37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产品供临床口腔正畸医师在对人体牙列矫正时作为辅助装置用。</w:t>
            </w:r>
          </w:p>
        </w:tc>
        <w:tc>
          <w:tcPr>
            <w:tcW w:w="1227" w:type="dxa"/>
            <w:tcBorders>
              <w:tl2br w:val="nil"/>
              <w:tr2bl w:val="nil"/>
            </w:tcBorders>
            <w:shd w:val="clear" w:color="auto" w:fill="auto"/>
            <w:vAlign w:val="center"/>
          </w:tcPr>
          <w:p w14:paraId="02E59A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75DA6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auto"/>
            <w:vAlign w:val="center"/>
          </w:tcPr>
          <w:p w14:paraId="4945A0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135</w:t>
            </w:r>
          </w:p>
        </w:tc>
        <w:tc>
          <w:tcPr>
            <w:tcW w:w="985" w:type="dxa"/>
            <w:tcBorders>
              <w:tl2br w:val="nil"/>
              <w:tr2bl w:val="nil"/>
            </w:tcBorders>
            <w:shd w:val="clear" w:color="auto" w:fill="auto"/>
            <w:vAlign w:val="center"/>
          </w:tcPr>
          <w:p w14:paraId="133EAE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57221C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1316E0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6D8BFC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0A8F65F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口腔正畸用反光镜</w:t>
            </w:r>
          </w:p>
        </w:tc>
        <w:tc>
          <w:tcPr>
            <w:tcW w:w="2636" w:type="dxa"/>
            <w:tcBorders>
              <w:tl2br w:val="nil"/>
              <w:tr2bl w:val="nil"/>
            </w:tcBorders>
            <w:shd w:val="clear" w:color="auto" w:fill="auto"/>
            <w:vAlign w:val="center"/>
          </w:tcPr>
          <w:p w14:paraId="459530A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口腔正畸治疗辅助器械。一面为镜面。采用不锈钢材料制成。非无菌提供，可重复使用。</w:t>
            </w:r>
          </w:p>
        </w:tc>
        <w:tc>
          <w:tcPr>
            <w:tcW w:w="1227" w:type="dxa"/>
            <w:tcBorders>
              <w:tl2br w:val="nil"/>
              <w:tr2bl w:val="nil"/>
            </w:tcBorders>
            <w:shd w:val="clear" w:color="auto" w:fill="auto"/>
            <w:vAlign w:val="center"/>
          </w:tcPr>
          <w:p w14:paraId="4247AB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27882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1281" w:type="dxa"/>
            <w:tcBorders>
              <w:tl2br w:val="nil"/>
              <w:tr2bl w:val="nil"/>
            </w:tcBorders>
            <w:shd w:val="clear" w:color="auto" w:fill="auto"/>
            <w:vAlign w:val="center"/>
          </w:tcPr>
          <w:p w14:paraId="034263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985" w:type="dxa"/>
            <w:tcBorders>
              <w:tl2br w:val="nil"/>
              <w:tr2bl w:val="nil"/>
            </w:tcBorders>
            <w:shd w:val="clear" w:color="auto" w:fill="auto"/>
            <w:vAlign w:val="center"/>
          </w:tcPr>
          <w:p w14:paraId="4D2014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108EA2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4E9594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8326D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FFFFFF"/>
            <w:vAlign w:val="center"/>
          </w:tcPr>
          <w:p w14:paraId="61640E5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正畸钳(末端切断钳)</w:t>
            </w:r>
          </w:p>
        </w:tc>
        <w:tc>
          <w:tcPr>
            <w:tcW w:w="2636" w:type="dxa"/>
            <w:tcBorders>
              <w:tl2br w:val="nil"/>
              <w:tr2bl w:val="nil"/>
            </w:tcBorders>
            <w:shd w:val="clear" w:color="auto" w:fill="FFFFFF"/>
            <w:vAlign w:val="center"/>
          </w:tcPr>
          <w:p w14:paraId="16219C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用于牙科临床中完成固定、止血、夹持、弯制、剪切和去除等操作。</w:t>
            </w:r>
          </w:p>
        </w:tc>
        <w:tc>
          <w:tcPr>
            <w:tcW w:w="1227" w:type="dxa"/>
            <w:tcBorders>
              <w:tl2br w:val="nil"/>
              <w:tr2bl w:val="nil"/>
            </w:tcBorders>
            <w:shd w:val="clear" w:color="auto" w:fill="FFFFFF"/>
            <w:vAlign w:val="center"/>
          </w:tcPr>
          <w:p w14:paraId="2C7080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219065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45E89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418.6</w:t>
            </w:r>
          </w:p>
        </w:tc>
        <w:tc>
          <w:tcPr>
            <w:tcW w:w="985" w:type="dxa"/>
            <w:tcBorders>
              <w:tl2br w:val="nil"/>
              <w:tr2bl w:val="nil"/>
            </w:tcBorders>
            <w:shd w:val="clear" w:color="auto" w:fill="auto"/>
            <w:vAlign w:val="center"/>
          </w:tcPr>
          <w:p w14:paraId="2EC85D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283104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FFFFFF"/>
            <w:vAlign w:val="center"/>
          </w:tcPr>
          <w:p w14:paraId="31C335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5AA98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FFFFFF"/>
            <w:vAlign w:val="center"/>
          </w:tcPr>
          <w:p w14:paraId="0E10880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正畸钳(托槽拆除钳)</w:t>
            </w:r>
          </w:p>
        </w:tc>
        <w:tc>
          <w:tcPr>
            <w:tcW w:w="2636" w:type="dxa"/>
            <w:tcBorders>
              <w:tl2br w:val="nil"/>
              <w:tr2bl w:val="nil"/>
            </w:tcBorders>
            <w:shd w:val="clear" w:color="auto" w:fill="FFFFFF"/>
            <w:vAlign w:val="center"/>
          </w:tcPr>
          <w:p w14:paraId="4B5530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用于牙科临床中完成固定、止血、夹持、弯制、剪切和去除等操作。</w:t>
            </w:r>
          </w:p>
        </w:tc>
        <w:tc>
          <w:tcPr>
            <w:tcW w:w="1227" w:type="dxa"/>
            <w:tcBorders>
              <w:tl2br w:val="nil"/>
              <w:tr2bl w:val="nil"/>
            </w:tcBorders>
            <w:shd w:val="clear" w:color="auto" w:fill="FFFFFF"/>
            <w:vAlign w:val="center"/>
          </w:tcPr>
          <w:p w14:paraId="758CDF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09C80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47717B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364</w:t>
            </w:r>
          </w:p>
        </w:tc>
        <w:tc>
          <w:tcPr>
            <w:tcW w:w="985" w:type="dxa"/>
            <w:tcBorders>
              <w:tl2br w:val="nil"/>
              <w:tr2bl w:val="nil"/>
            </w:tcBorders>
            <w:shd w:val="clear" w:color="auto" w:fill="auto"/>
            <w:vAlign w:val="center"/>
          </w:tcPr>
          <w:p w14:paraId="1C1B48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0B8651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FFFFFF"/>
            <w:vAlign w:val="center"/>
          </w:tcPr>
          <w:p w14:paraId="719253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E1978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FFFFFF"/>
            <w:vAlign w:val="center"/>
          </w:tcPr>
          <w:p w14:paraId="64383D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正畸钳(带环拆除钳)</w:t>
            </w:r>
          </w:p>
        </w:tc>
        <w:tc>
          <w:tcPr>
            <w:tcW w:w="2636" w:type="dxa"/>
            <w:tcBorders>
              <w:tl2br w:val="nil"/>
              <w:tr2bl w:val="nil"/>
            </w:tcBorders>
            <w:shd w:val="clear" w:color="auto" w:fill="FFFFFF"/>
            <w:vAlign w:val="center"/>
          </w:tcPr>
          <w:p w14:paraId="2C49FE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用于牙科临床中完成固定、止血、夹持、弯制、剪切和去除等操作。</w:t>
            </w:r>
          </w:p>
        </w:tc>
        <w:tc>
          <w:tcPr>
            <w:tcW w:w="1227" w:type="dxa"/>
            <w:tcBorders>
              <w:tl2br w:val="nil"/>
              <w:tr2bl w:val="nil"/>
            </w:tcBorders>
            <w:shd w:val="clear" w:color="auto" w:fill="FFFFFF"/>
            <w:vAlign w:val="center"/>
          </w:tcPr>
          <w:p w14:paraId="7D1AA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5716E2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1C4EBF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364</w:t>
            </w:r>
          </w:p>
        </w:tc>
        <w:tc>
          <w:tcPr>
            <w:tcW w:w="985" w:type="dxa"/>
            <w:tcBorders>
              <w:tl2br w:val="nil"/>
              <w:tr2bl w:val="nil"/>
            </w:tcBorders>
            <w:shd w:val="clear" w:color="auto" w:fill="auto"/>
            <w:vAlign w:val="center"/>
          </w:tcPr>
          <w:p w14:paraId="1A2D40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04FEFD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FFFFFF"/>
            <w:vAlign w:val="center"/>
          </w:tcPr>
          <w:p w14:paraId="2BDB66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82779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FFFFFF"/>
            <w:vAlign w:val="center"/>
          </w:tcPr>
          <w:p w14:paraId="5D92EDD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正畸钳(颊面管顶盖去除钳)</w:t>
            </w:r>
          </w:p>
        </w:tc>
        <w:tc>
          <w:tcPr>
            <w:tcW w:w="2636" w:type="dxa"/>
            <w:tcBorders>
              <w:tl2br w:val="nil"/>
              <w:tr2bl w:val="nil"/>
            </w:tcBorders>
            <w:shd w:val="clear" w:color="auto" w:fill="FFFFFF"/>
            <w:vAlign w:val="center"/>
          </w:tcPr>
          <w:p w14:paraId="0C6CBBA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用于牙科临床中完成固定、止血、夹持、弯制、剪切和去除等操作。</w:t>
            </w:r>
          </w:p>
        </w:tc>
        <w:tc>
          <w:tcPr>
            <w:tcW w:w="1227" w:type="dxa"/>
            <w:tcBorders>
              <w:tl2br w:val="nil"/>
              <w:tr2bl w:val="nil"/>
            </w:tcBorders>
            <w:shd w:val="clear" w:color="auto" w:fill="FFFFFF"/>
            <w:vAlign w:val="center"/>
          </w:tcPr>
          <w:p w14:paraId="7FD4B2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0725D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05839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488.6</w:t>
            </w:r>
          </w:p>
        </w:tc>
        <w:tc>
          <w:tcPr>
            <w:tcW w:w="985" w:type="dxa"/>
            <w:tcBorders>
              <w:tl2br w:val="nil"/>
              <w:tr2bl w:val="nil"/>
            </w:tcBorders>
            <w:shd w:val="clear" w:color="auto" w:fill="auto"/>
            <w:vAlign w:val="center"/>
          </w:tcPr>
          <w:p w14:paraId="218FF6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4EA654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FFFFFF"/>
            <w:vAlign w:val="center"/>
          </w:tcPr>
          <w:p w14:paraId="45422A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DF768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FFFFFF"/>
            <w:vAlign w:val="center"/>
          </w:tcPr>
          <w:p w14:paraId="541AD21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正畸带环就位器(带环推)</w:t>
            </w:r>
          </w:p>
        </w:tc>
        <w:tc>
          <w:tcPr>
            <w:tcW w:w="2636" w:type="dxa"/>
            <w:tcBorders>
              <w:tl2br w:val="nil"/>
              <w:tr2bl w:val="nil"/>
            </w:tcBorders>
            <w:shd w:val="clear" w:color="auto" w:fill="FFFFFF"/>
            <w:vAlign w:val="center"/>
          </w:tcPr>
          <w:p w14:paraId="50ECC47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用于口腔正畸治疗时推压带环，使带环于牙冠的适当位置就位。</w:t>
            </w:r>
          </w:p>
        </w:tc>
        <w:tc>
          <w:tcPr>
            <w:tcW w:w="1227" w:type="dxa"/>
            <w:tcBorders>
              <w:tl2br w:val="nil"/>
              <w:tr2bl w:val="nil"/>
            </w:tcBorders>
            <w:shd w:val="clear" w:color="auto" w:fill="FFFFFF"/>
            <w:vAlign w:val="center"/>
          </w:tcPr>
          <w:p w14:paraId="00EC0F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26A80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35163E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50.4</w:t>
            </w:r>
          </w:p>
        </w:tc>
        <w:tc>
          <w:tcPr>
            <w:tcW w:w="985" w:type="dxa"/>
            <w:tcBorders>
              <w:tl2br w:val="nil"/>
              <w:tr2bl w:val="nil"/>
            </w:tcBorders>
            <w:shd w:val="clear" w:color="auto" w:fill="auto"/>
            <w:vAlign w:val="center"/>
          </w:tcPr>
          <w:p w14:paraId="5D6400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4E273D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FFFFFF"/>
            <w:vAlign w:val="center"/>
          </w:tcPr>
          <w:p w14:paraId="52B34B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4B2E4D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FFFFFF"/>
            <w:vAlign w:val="center"/>
          </w:tcPr>
          <w:p w14:paraId="2F9A21A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托槽定位器</w:t>
            </w:r>
          </w:p>
        </w:tc>
        <w:tc>
          <w:tcPr>
            <w:tcW w:w="2636" w:type="dxa"/>
            <w:tcBorders>
              <w:tl2br w:val="nil"/>
              <w:tr2bl w:val="nil"/>
            </w:tcBorders>
            <w:shd w:val="clear" w:color="auto" w:fill="FFFFFF"/>
            <w:vAlign w:val="center"/>
          </w:tcPr>
          <w:p w14:paraId="2A441F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用于口腔正畸过程中粘贴托槽前进行定位。</w:t>
            </w:r>
          </w:p>
        </w:tc>
        <w:tc>
          <w:tcPr>
            <w:tcW w:w="1227" w:type="dxa"/>
            <w:tcBorders>
              <w:tl2br w:val="nil"/>
              <w:tr2bl w:val="nil"/>
            </w:tcBorders>
            <w:shd w:val="clear" w:color="auto" w:fill="FFFFFF"/>
            <w:vAlign w:val="center"/>
          </w:tcPr>
          <w:p w14:paraId="0C76D1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750DE0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auto"/>
            <w:vAlign w:val="center"/>
          </w:tcPr>
          <w:p w14:paraId="15E695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89.6</w:t>
            </w:r>
          </w:p>
        </w:tc>
        <w:tc>
          <w:tcPr>
            <w:tcW w:w="985" w:type="dxa"/>
            <w:tcBorders>
              <w:tl2br w:val="nil"/>
              <w:tr2bl w:val="nil"/>
            </w:tcBorders>
            <w:shd w:val="clear" w:color="auto" w:fill="auto"/>
            <w:vAlign w:val="center"/>
          </w:tcPr>
          <w:p w14:paraId="1F9281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1ED727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FFFFFF"/>
            <w:vAlign w:val="center"/>
          </w:tcPr>
          <w:p w14:paraId="65F06A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1A7FE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347AC0A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方丝弓成型器</w:t>
            </w:r>
          </w:p>
        </w:tc>
        <w:tc>
          <w:tcPr>
            <w:tcW w:w="2636" w:type="dxa"/>
            <w:tcBorders>
              <w:tl2br w:val="nil"/>
              <w:tr2bl w:val="nil"/>
            </w:tcBorders>
            <w:shd w:val="clear" w:color="auto" w:fill="auto"/>
            <w:vAlign w:val="center"/>
          </w:tcPr>
          <w:p w14:paraId="12D5FF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由压柄、槽柄、转轴、压针、卡环组成。压柄、槽柄表面为直槽、圈槽或网纹。采用不锈钢材料制成。非无菌提供，可重复使用</w:t>
            </w:r>
          </w:p>
        </w:tc>
        <w:tc>
          <w:tcPr>
            <w:tcW w:w="1227" w:type="dxa"/>
            <w:tcBorders>
              <w:tl2br w:val="nil"/>
              <w:tr2bl w:val="nil"/>
            </w:tcBorders>
            <w:shd w:val="clear" w:color="auto" w:fill="auto"/>
            <w:vAlign w:val="center"/>
          </w:tcPr>
          <w:p w14:paraId="5E6AFE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3D34E6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62B1E3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270</w:t>
            </w:r>
          </w:p>
        </w:tc>
        <w:tc>
          <w:tcPr>
            <w:tcW w:w="985" w:type="dxa"/>
            <w:tcBorders>
              <w:tl2br w:val="nil"/>
              <w:tr2bl w:val="nil"/>
            </w:tcBorders>
            <w:shd w:val="clear" w:color="auto" w:fill="auto"/>
            <w:vAlign w:val="center"/>
          </w:tcPr>
          <w:p w14:paraId="6F26A1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0F1DA6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5D0A7F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BAC89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2BA5A2F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螺旋扩弓器</w:t>
            </w:r>
          </w:p>
        </w:tc>
        <w:tc>
          <w:tcPr>
            <w:tcW w:w="2636" w:type="dxa"/>
            <w:tcBorders>
              <w:tl2br w:val="nil"/>
              <w:tr2bl w:val="nil"/>
            </w:tcBorders>
            <w:shd w:val="clear" w:color="auto" w:fill="auto"/>
            <w:vAlign w:val="center"/>
          </w:tcPr>
          <w:p w14:paraId="3A4A05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产品与活动矫治器配套，供人体牙列正畸时扩大牙弓用。</w:t>
            </w:r>
          </w:p>
        </w:tc>
        <w:tc>
          <w:tcPr>
            <w:tcW w:w="1227" w:type="dxa"/>
            <w:tcBorders>
              <w:tl2br w:val="nil"/>
              <w:tr2bl w:val="nil"/>
            </w:tcBorders>
            <w:shd w:val="clear" w:color="auto" w:fill="auto"/>
            <w:vAlign w:val="center"/>
          </w:tcPr>
          <w:p w14:paraId="66AC6D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1A2ACC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1281" w:type="dxa"/>
            <w:tcBorders>
              <w:tl2br w:val="nil"/>
              <w:tr2bl w:val="nil"/>
            </w:tcBorders>
            <w:shd w:val="clear" w:color="auto" w:fill="auto"/>
            <w:vAlign w:val="center"/>
          </w:tcPr>
          <w:p w14:paraId="29ADA7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985" w:type="dxa"/>
            <w:tcBorders>
              <w:tl2br w:val="nil"/>
              <w:tr2bl w:val="nil"/>
            </w:tcBorders>
            <w:shd w:val="clear" w:color="auto" w:fill="auto"/>
            <w:vAlign w:val="center"/>
          </w:tcPr>
          <w:p w14:paraId="452EAE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6A927A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150E8D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745E10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651EA62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牙用测力计</w:t>
            </w:r>
          </w:p>
        </w:tc>
        <w:tc>
          <w:tcPr>
            <w:tcW w:w="2636" w:type="dxa"/>
            <w:tcBorders>
              <w:tl2br w:val="nil"/>
              <w:tr2bl w:val="nil"/>
            </w:tcBorders>
            <w:shd w:val="clear" w:color="auto" w:fill="auto"/>
            <w:vAlign w:val="center"/>
          </w:tcPr>
          <w:p w14:paraId="585342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用于测量口腔力度参数</w:t>
            </w:r>
          </w:p>
        </w:tc>
        <w:tc>
          <w:tcPr>
            <w:tcW w:w="1227" w:type="dxa"/>
            <w:tcBorders>
              <w:tl2br w:val="nil"/>
              <w:tr2bl w:val="nil"/>
            </w:tcBorders>
            <w:shd w:val="clear" w:color="auto" w:fill="auto"/>
            <w:vAlign w:val="center"/>
          </w:tcPr>
          <w:p w14:paraId="75A929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测力范围0-500g</w:t>
            </w:r>
          </w:p>
        </w:tc>
        <w:tc>
          <w:tcPr>
            <w:tcW w:w="996" w:type="dxa"/>
            <w:tcBorders>
              <w:tl2br w:val="nil"/>
              <w:tr2bl w:val="nil"/>
            </w:tcBorders>
            <w:shd w:val="clear" w:color="auto" w:fill="auto"/>
            <w:vAlign w:val="center"/>
          </w:tcPr>
          <w:p w14:paraId="0C8C48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166DFB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182</w:t>
            </w:r>
          </w:p>
        </w:tc>
        <w:tc>
          <w:tcPr>
            <w:tcW w:w="985" w:type="dxa"/>
            <w:tcBorders>
              <w:tl2br w:val="nil"/>
              <w:tr2bl w:val="nil"/>
            </w:tcBorders>
            <w:shd w:val="clear" w:color="auto" w:fill="auto"/>
            <w:vAlign w:val="center"/>
          </w:tcPr>
          <w:p w14:paraId="5D387F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2915DA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498C49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74EFFF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1FD0ECE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牙科测量尺</w:t>
            </w:r>
          </w:p>
        </w:tc>
        <w:tc>
          <w:tcPr>
            <w:tcW w:w="2636" w:type="dxa"/>
            <w:tcBorders>
              <w:tl2br w:val="nil"/>
              <w:tr2bl w:val="nil"/>
            </w:tcBorders>
            <w:shd w:val="clear" w:color="auto" w:fill="auto"/>
            <w:vAlign w:val="center"/>
          </w:tcPr>
          <w:p w14:paraId="254C062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用于测量口腔中间隙、深度等参数。</w:t>
            </w:r>
          </w:p>
        </w:tc>
        <w:tc>
          <w:tcPr>
            <w:tcW w:w="1227" w:type="dxa"/>
            <w:tcBorders>
              <w:tl2br w:val="nil"/>
              <w:tr2bl w:val="nil"/>
            </w:tcBorders>
            <w:shd w:val="clear" w:color="auto" w:fill="auto"/>
            <w:vAlign w:val="center"/>
          </w:tcPr>
          <w:p w14:paraId="2B0C32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726213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347C45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208.6</w:t>
            </w:r>
          </w:p>
        </w:tc>
        <w:tc>
          <w:tcPr>
            <w:tcW w:w="985" w:type="dxa"/>
            <w:tcBorders>
              <w:tl2br w:val="nil"/>
              <w:tr2bl w:val="nil"/>
            </w:tcBorders>
            <w:shd w:val="clear" w:color="auto" w:fill="auto"/>
            <w:vAlign w:val="center"/>
          </w:tcPr>
          <w:p w14:paraId="20035A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670C2A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123CE4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53B74A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22DBBF3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牙科测量尺(牙间隙塞尺)</w:t>
            </w:r>
          </w:p>
        </w:tc>
        <w:tc>
          <w:tcPr>
            <w:tcW w:w="2636" w:type="dxa"/>
            <w:tcBorders>
              <w:tl2br w:val="nil"/>
              <w:tr2bl w:val="nil"/>
            </w:tcBorders>
            <w:shd w:val="clear" w:color="auto" w:fill="auto"/>
            <w:vAlign w:val="center"/>
          </w:tcPr>
          <w:p w14:paraId="13CE6C1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用于测量口腔中间隙、深度等参数。</w:t>
            </w:r>
          </w:p>
        </w:tc>
        <w:tc>
          <w:tcPr>
            <w:tcW w:w="1227" w:type="dxa"/>
            <w:tcBorders>
              <w:tl2br w:val="nil"/>
              <w:tr2bl w:val="nil"/>
            </w:tcBorders>
            <w:shd w:val="clear" w:color="auto" w:fill="auto"/>
            <w:vAlign w:val="center"/>
          </w:tcPr>
          <w:p w14:paraId="0BC011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40C274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537B4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985" w:type="dxa"/>
            <w:tcBorders>
              <w:tl2br w:val="nil"/>
              <w:tr2bl w:val="nil"/>
            </w:tcBorders>
            <w:shd w:val="clear" w:color="auto" w:fill="auto"/>
            <w:vAlign w:val="center"/>
          </w:tcPr>
          <w:p w14:paraId="261720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449ABE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41DC20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39521D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4EA04BC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牙科测量尺(分规式测量尺)</w:t>
            </w:r>
          </w:p>
        </w:tc>
        <w:tc>
          <w:tcPr>
            <w:tcW w:w="2636" w:type="dxa"/>
            <w:tcBorders>
              <w:tl2br w:val="nil"/>
              <w:tr2bl w:val="nil"/>
            </w:tcBorders>
            <w:shd w:val="clear" w:color="auto" w:fill="auto"/>
            <w:vAlign w:val="center"/>
          </w:tcPr>
          <w:p w14:paraId="66E39F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用于测量口腔中间隙、深度等参数。</w:t>
            </w:r>
          </w:p>
        </w:tc>
        <w:tc>
          <w:tcPr>
            <w:tcW w:w="1227" w:type="dxa"/>
            <w:tcBorders>
              <w:tl2br w:val="nil"/>
              <w:tr2bl w:val="nil"/>
            </w:tcBorders>
            <w:shd w:val="clear" w:color="auto" w:fill="auto"/>
            <w:vAlign w:val="center"/>
          </w:tcPr>
          <w:p w14:paraId="522ECF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2065D6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4B3FDB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544</w:t>
            </w:r>
          </w:p>
        </w:tc>
        <w:tc>
          <w:tcPr>
            <w:tcW w:w="985" w:type="dxa"/>
            <w:tcBorders>
              <w:tl2br w:val="nil"/>
              <w:tr2bl w:val="nil"/>
            </w:tcBorders>
            <w:shd w:val="clear" w:color="auto" w:fill="auto"/>
            <w:vAlign w:val="center"/>
          </w:tcPr>
          <w:p w14:paraId="69208B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651F46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3C2778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002E02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6E5A3E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楔子(带孔塑料楔子)</w:t>
            </w:r>
          </w:p>
        </w:tc>
        <w:tc>
          <w:tcPr>
            <w:tcW w:w="2636" w:type="dxa"/>
            <w:tcBorders>
              <w:tl2br w:val="nil"/>
              <w:tr2bl w:val="nil"/>
            </w:tcBorders>
            <w:shd w:val="clear" w:color="auto" w:fill="auto"/>
            <w:vAlign w:val="center"/>
          </w:tcPr>
          <w:p w14:paraId="5F12848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口腔治疗时起隔离作用或辅助修复体成形作用</w:t>
            </w:r>
          </w:p>
        </w:tc>
        <w:tc>
          <w:tcPr>
            <w:tcW w:w="1227" w:type="dxa"/>
            <w:tcBorders>
              <w:tl2br w:val="nil"/>
              <w:tr2bl w:val="nil"/>
            </w:tcBorders>
            <w:shd w:val="clear" w:color="auto" w:fill="auto"/>
            <w:vAlign w:val="center"/>
          </w:tcPr>
          <w:p w14:paraId="380C09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6E58E4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auto"/>
            <w:vAlign w:val="center"/>
          </w:tcPr>
          <w:p w14:paraId="1EBDC8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0.18</w:t>
            </w:r>
          </w:p>
        </w:tc>
        <w:tc>
          <w:tcPr>
            <w:tcW w:w="985" w:type="dxa"/>
            <w:tcBorders>
              <w:tl2br w:val="nil"/>
              <w:tr2bl w:val="nil"/>
            </w:tcBorders>
            <w:shd w:val="clear" w:color="auto" w:fill="auto"/>
            <w:vAlign w:val="center"/>
          </w:tcPr>
          <w:p w14:paraId="230C93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3400</w:t>
            </w:r>
          </w:p>
        </w:tc>
        <w:tc>
          <w:tcPr>
            <w:tcW w:w="1268" w:type="dxa"/>
            <w:tcBorders>
              <w:tl2br w:val="nil"/>
              <w:tr2bl w:val="nil"/>
            </w:tcBorders>
            <w:shd w:val="clear" w:color="auto" w:fill="auto"/>
            <w:vAlign w:val="center"/>
          </w:tcPr>
          <w:p w14:paraId="64A34B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612</w:t>
            </w:r>
          </w:p>
        </w:tc>
        <w:tc>
          <w:tcPr>
            <w:tcW w:w="1000" w:type="dxa"/>
            <w:tcBorders>
              <w:tl2br w:val="nil"/>
              <w:tr2bl w:val="nil"/>
            </w:tcBorders>
            <w:shd w:val="clear" w:color="auto" w:fill="auto"/>
            <w:vAlign w:val="center"/>
          </w:tcPr>
          <w:p w14:paraId="48C0DF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388604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553C120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楔子(普通塑料楔子)</w:t>
            </w:r>
          </w:p>
        </w:tc>
        <w:tc>
          <w:tcPr>
            <w:tcW w:w="2636" w:type="dxa"/>
            <w:tcBorders>
              <w:tl2br w:val="nil"/>
              <w:tr2bl w:val="nil"/>
            </w:tcBorders>
            <w:shd w:val="clear" w:color="auto" w:fill="auto"/>
            <w:vAlign w:val="center"/>
          </w:tcPr>
          <w:p w14:paraId="27AD90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口腔治疗时起隔离作用或辅助修复体成形作用</w:t>
            </w:r>
          </w:p>
        </w:tc>
        <w:tc>
          <w:tcPr>
            <w:tcW w:w="1227" w:type="dxa"/>
            <w:tcBorders>
              <w:tl2br w:val="nil"/>
              <w:tr2bl w:val="nil"/>
            </w:tcBorders>
            <w:shd w:val="clear" w:color="auto" w:fill="auto"/>
            <w:vAlign w:val="center"/>
          </w:tcPr>
          <w:p w14:paraId="06C6D4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513B59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auto"/>
            <w:vAlign w:val="center"/>
          </w:tcPr>
          <w:p w14:paraId="21186A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0.16</w:t>
            </w:r>
          </w:p>
        </w:tc>
        <w:tc>
          <w:tcPr>
            <w:tcW w:w="985" w:type="dxa"/>
            <w:tcBorders>
              <w:tl2br w:val="nil"/>
              <w:tr2bl w:val="nil"/>
            </w:tcBorders>
            <w:shd w:val="clear" w:color="auto" w:fill="auto"/>
            <w:vAlign w:val="center"/>
          </w:tcPr>
          <w:p w14:paraId="264FC6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268" w:type="dxa"/>
            <w:tcBorders>
              <w:tl2br w:val="nil"/>
              <w:tr2bl w:val="nil"/>
            </w:tcBorders>
            <w:shd w:val="clear" w:color="auto" w:fill="auto"/>
            <w:vAlign w:val="center"/>
          </w:tcPr>
          <w:p w14:paraId="3741B5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000" w:type="dxa"/>
            <w:tcBorders>
              <w:tl2br w:val="nil"/>
              <w:tr2bl w:val="nil"/>
            </w:tcBorders>
            <w:shd w:val="clear" w:color="auto" w:fill="auto"/>
            <w:vAlign w:val="center"/>
          </w:tcPr>
          <w:p w14:paraId="63E371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39F3CB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67F494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橡皮障支架(面弓)</w:t>
            </w:r>
          </w:p>
        </w:tc>
        <w:tc>
          <w:tcPr>
            <w:tcW w:w="2636" w:type="dxa"/>
            <w:tcBorders>
              <w:tl2br w:val="nil"/>
              <w:tr2bl w:val="nil"/>
            </w:tcBorders>
            <w:shd w:val="clear" w:color="auto" w:fill="auto"/>
            <w:vAlign w:val="center"/>
          </w:tcPr>
          <w:p w14:paraId="15719D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安装橡皮障的基础架</w:t>
            </w:r>
          </w:p>
        </w:tc>
        <w:tc>
          <w:tcPr>
            <w:tcW w:w="1227" w:type="dxa"/>
            <w:tcBorders>
              <w:tl2br w:val="nil"/>
              <w:tr2bl w:val="nil"/>
            </w:tcBorders>
            <w:shd w:val="clear" w:color="auto" w:fill="auto"/>
            <w:vAlign w:val="center"/>
          </w:tcPr>
          <w:p w14:paraId="705850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F1D9F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auto"/>
            <w:vAlign w:val="center"/>
          </w:tcPr>
          <w:p w14:paraId="204D3F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w:t>
            </w:r>
          </w:p>
        </w:tc>
        <w:tc>
          <w:tcPr>
            <w:tcW w:w="985" w:type="dxa"/>
            <w:tcBorders>
              <w:tl2br w:val="nil"/>
              <w:tr2bl w:val="nil"/>
            </w:tcBorders>
            <w:shd w:val="clear" w:color="auto" w:fill="auto"/>
            <w:vAlign w:val="center"/>
          </w:tcPr>
          <w:p w14:paraId="0D713C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68" w:type="dxa"/>
            <w:tcBorders>
              <w:tl2br w:val="nil"/>
              <w:tr2bl w:val="nil"/>
            </w:tcBorders>
            <w:shd w:val="clear" w:color="auto" w:fill="auto"/>
            <w:vAlign w:val="center"/>
          </w:tcPr>
          <w:p w14:paraId="2A0319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w:t>
            </w:r>
          </w:p>
        </w:tc>
        <w:tc>
          <w:tcPr>
            <w:tcW w:w="1000" w:type="dxa"/>
            <w:tcBorders>
              <w:tl2br w:val="nil"/>
              <w:tr2bl w:val="nil"/>
            </w:tcBorders>
            <w:shd w:val="clear" w:color="auto" w:fill="auto"/>
            <w:vAlign w:val="center"/>
          </w:tcPr>
          <w:p w14:paraId="38522B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40E605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3BA854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橡皮障夹(蝴蝶夹)</w:t>
            </w:r>
          </w:p>
        </w:tc>
        <w:tc>
          <w:tcPr>
            <w:tcW w:w="2636" w:type="dxa"/>
            <w:tcBorders>
              <w:tl2br w:val="nil"/>
              <w:tr2bl w:val="nil"/>
            </w:tcBorders>
            <w:shd w:val="clear" w:color="auto" w:fill="auto"/>
            <w:vAlign w:val="center"/>
          </w:tcPr>
          <w:p w14:paraId="54F12A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前磨牙和下颌切牙夹</w:t>
            </w:r>
          </w:p>
        </w:tc>
        <w:tc>
          <w:tcPr>
            <w:tcW w:w="1227" w:type="dxa"/>
            <w:tcBorders>
              <w:tl2br w:val="nil"/>
              <w:tr2bl w:val="nil"/>
            </w:tcBorders>
            <w:shd w:val="clear" w:color="auto" w:fill="auto"/>
            <w:vAlign w:val="center"/>
          </w:tcPr>
          <w:p w14:paraId="1664B2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36BB8F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auto"/>
            <w:vAlign w:val="center"/>
          </w:tcPr>
          <w:p w14:paraId="017B75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w:t>
            </w:r>
          </w:p>
        </w:tc>
        <w:tc>
          <w:tcPr>
            <w:tcW w:w="985" w:type="dxa"/>
            <w:tcBorders>
              <w:tl2br w:val="nil"/>
              <w:tr2bl w:val="nil"/>
            </w:tcBorders>
            <w:shd w:val="clear" w:color="auto" w:fill="auto"/>
            <w:vAlign w:val="center"/>
          </w:tcPr>
          <w:p w14:paraId="1C0082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268" w:type="dxa"/>
            <w:tcBorders>
              <w:tl2br w:val="nil"/>
              <w:tr2bl w:val="nil"/>
            </w:tcBorders>
            <w:shd w:val="clear" w:color="auto" w:fill="auto"/>
            <w:vAlign w:val="center"/>
          </w:tcPr>
          <w:p w14:paraId="63A822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2052</w:t>
            </w:r>
          </w:p>
        </w:tc>
        <w:tc>
          <w:tcPr>
            <w:tcW w:w="1000" w:type="dxa"/>
            <w:tcBorders>
              <w:tl2br w:val="nil"/>
              <w:tr2bl w:val="nil"/>
            </w:tcBorders>
            <w:shd w:val="clear" w:color="auto" w:fill="auto"/>
            <w:vAlign w:val="center"/>
          </w:tcPr>
          <w:p w14:paraId="5D3D25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05FFCE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3C99148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牙科橡皮障楔线</w:t>
            </w:r>
          </w:p>
        </w:tc>
        <w:tc>
          <w:tcPr>
            <w:tcW w:w="2636" w:type="dxa"/>
            <w:tcBorders>
              <w:tl2br w:val="nil"/>
              <w:tr2bl w:val="nil"/>
            </w:tcBorders>
            <w:shd w:val="clear" w:color="auto" w:fill="auto"/>
            <w:vAlign w:val="center"/>
          </w:tcPr>
          <w:p w14:paraId="21EFE2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固定橡皮障夹</w:t>
            </w:r>
          </w:p>
        </w:tc>
        <w:tc>
          <w:tcPr>
            <w:tcW w:w="1227" w:type="dxa"/>
            <w:tcBorders>
              <w:tl2br w:val="nil"/>
              <w:tr2bl w:val="nil"/>
            </w:tcBorders>
            <w:shd w:val="clear" w:color="auto" w:fill="auto"/>
            <w:vAlign w:val="center"/>
          </w:tcPr>
          <w:p w14:paraId="1915A1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6DAFF8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auto"/>
            <w:vAlign w:val="center"/>
          </w:tcPr>
          <w:p w14:paraId="2922C5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w:t>
            </w:r>
          </w:p>
        </w:tc>
        <w:tc>
          <w:tcPr>
            <w:tcW w:w="985" w:type="dxa"/>
            <w:tcBorders>
              <w:tl2br w:val="nil"/>
              <w:tr2bl w:val="nil"/>
            </w:tcBorders>
            <w:shd w:val="clear" w:color="auto" w:fill="auto"/>
            <w:vAlign w:val="center"/>
          </w:tcPr>
          <w:p w14:paraId="5DF8C3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68" w:type="dxa"/>
            <w:tcBorders>
              <w:tl2br w:val="nil"/>
              <w:tr2bl w:val="nil"/>
            </w:tcBorders>
            <w:shd w:val="clear" w:color="auto" w:fill="auto"/>
            <w:vAlign w:val="center"/>
          </w:tcPr>
          <w:p w14:paraId="2B6CEF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w:t>
            </w:r>
          </w:p>
        </w:tc>
        <w:tc>
          <w:tcPr>
            <w:tcW w:w="1000" w:type="dxa"/>
            <w:tcBorders>
              <w:tl2br w:val="nil"/>
              <w:tr2bl w:val="nil"/>
            </w:tcBorders>
            <w:shd w:val="clear" w:color="auto" w:fill="auto"/>
            <w:vAlign w:val="center"/>
          </w:tcPr>
          <w:p w14:paraId="5B1A46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0ACE21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314EC80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橡皮障夹钳(撑开钳)</w:t>
            </w:r>
          </w:p>
        </w:tc>
        <w:tc>
          <w:tcPr>
            <w:tcW w:w="2636" w:type="dxa"/>
            <w:tcBorders>
              <w:tl2br w:val="nil"/>
              <w:tr2bl w:val="nil"/>
            </w:tcBorders>
            <w:shd w:val="clear" w:color="auto" w:fill="auto"/>
            <w:vAlign w:val="center"/>
          </w:tcPr>
          <w:p w14:paraId="2604F4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用于装戴橡皮障夹</w:t>
            </w:r>
          </w:p>
        </w:tc>
        <w:tc>
          <w:tcPr>
            <w:tcW w:w="1227" w:type="dxa"/>
            <w:tcBorders>
              <w:tl2br w:val="nil"/>
              <w:tr2bl w:val="nil"/>
            </w:tcBorders>
            <w:shd w:val="clear" w:color="auto" w:fill="auto"/>
            <w:vAlign w:val="center"/>
          </w:tcPr>
          <w:p w14:paraId="7F0F79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28127F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4C7F9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625</w:t>
            </w:r>
          </w:p>
        </w:tc>
        <w:tc>
          <w:tcPr>
            <w:tcW w:w="985" w:type="dxa"/>
            <w:tcBorders>
              <w:tl2br w:val="nil"/>
              <w:tr2bl w:val="nil"/>
            </w:tcBorders>
            <w:shd w:val="clear" w:color="auto" w:fill="auto"/>
            <w:vAlign w:val="center"/>
          </w:tcPr>
          <w:p w14:paraId="3424A3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1B8D35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6B1C99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007895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6046D0D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一次性使用口腔涂药棒(一次性涂药棒)</w:t>
            </w:r>
          </w:p>
        </w:tc>
        <w:tc>
          <w:tcPr>
            <w:tcW w:w="2636" w:type="dxa"/>
            <w:tcBorders>
              <w:tl2br w:val="nil"/>
              <w:tr2bl w:val="nil"/>
            </w:tcBorders>
            <w:shd w:val="clear" w:color="auto" w:fill="auto"/>
            <w:vAlign w:val="center"/>
          </w:tcPr>
          <w:p w14:paraId="5921166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用于口腔治疗时，牙科医师清洁牙齿内污垢，并将酸蚀剂、粘结剂、洞衬、氟保护漆、窝沟封闭剂涂敷到牙齿患处</w:t>
            </w:r>
          </w:p>
        </w:tc>
        <w:tc>
          <w:tcPr>
            <w:tcW w:w="1227" w:type="dxa"/>
            <w:tcBorders>
              <w:tl2br w:val="nil"/>
              <w:tr2bl w:val="nil"/>
            </w:tcBorders>
            <w:shd w:val="clear" w:color="auto" w:fill="auto"/>
            <w:vAlign w:val="center"/>
          </w:tcPr>
          <w:p w14:paraId="642AE5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4856DE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71349E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985" w:type="dxa"/>
            <w:tcBorders>
              <w:tl2br w:val="nil"/>
              <w:tr2bl w:val="nil"/>
            </w:tcBorders>
            <w:shd w:val="clear" w:color="auto" w:fill="auto"/>
            <w:vAlign w:val="center"/>
          </w:tcPr>
          <w:p w14:paraId="74C56E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31600</w:t>
            </w:r>
          </w:p>
        </w:tc>
        <w:tc>
          <w:tcPr>
            <w:tcW w:w="1268" w:type="dxa"/>
            <w:tcBorders>
              <w:tl2br w:val="nil"/>
              <w:tr2bl w:val="nil"/>
            </w:tcBorders>
            <w:shd w:val="clear" w:color="auto" w:fill="auto"/>
            <w:vAlign w:val="center"/>
          </w:tcPr>
          <w:p w14:paraId="6C0398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9480</w:t>
            </w:r>
          </w:p>
        </w:tc>
        <w:tc>
          <w:tcPr>
            <w:tcW w:w="1000" w:type="dxa"/>
            <w:tcBorders>
              <w:tl2br w:val="nil"/>
              <w:tr2bl w:val="nil"/>
            </w:tcBorders>
            <w:shd w:val="clear" w:color="auto" w:fill="auto"/>
            <w:vAlign w:val="center"/>
          </w:tcPr>
          <w:p w14:paraId="21E276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449FB7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4CCE657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成型片(豆瓣成形片)</w:t>
            </w:r>
          </w:p>
        </w:tc>
        <w:tc>
          <w:tcPr>
            <w:tcW w:w="2636" w:type="dxa"/>
            <w:tcBorders>
              <w:tl2br w:val="nil"/>
              <w:tr2bl w:val="nil"/>
            </w:tcBorders>
            <w:shd w:val="clear" w:color="auto" w:fill="auto"/>
            <w:vAlign w:val="center"/>
          </w:tcPr>
          <w:p w14:paraId="31F9C3E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口腔治疗时的起隔离作用或者辅助修复体成形作用。</w:t>
            </w:r>
          </w:p>
        </w:tc>
        <w:tc>
          <w:tcPr>
            <w:tcW w:w="1227" w:type="dxa"/>
            <w:tcBorders>
              <w:tl2br w:val="nil"/>
              <w:tr2bl w:val="nil"/>
            </w:tcBorders>
            <w:shd w:val="clear" w:color="auto" w:fill="auto"/>
            <w:vAlign w:val="center"/>
          </w:tcPr>
          <w:p w14:paraId="7ADC3C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55E0D9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auto"/>
            <w:vAlign w:val="center"/>
          </w:tcPr>
          <w:p w14:paraId="4B15EB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985" w:type="dxa"/>
            <w:tcBorders>
              <w:tl2br w:val="nil"/>
              <w:tr2bl w:val="nil"/>
            </w:tcBorders>
            <w:shd w:val="clear" w:color="auto" w:fill="auto"/>
            <w:vAlign w:val="center"/>
          </w:tcPr>
          <w:p w14:paraId="16E2A1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5850</w:t>
            </w:r>
          </w:p>
        </w:tc>
        <w:tc>
          <w:tcPr>
            <w:tcW w:w="1268" w:type="dxa"/>
            <w:tcBorders>
              <w:tl2br w:val="nil"/>
              <w:tr2bl w:val="nil"/>
            </w:tcBorders>
            <w:shd w:val="clear" w:color="auto" w:fill="auto"/>
            <w:vAlign w:val="center"/>
          </w:tcPr>
          <w:p w14:paraId="02A0D9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17550</w:t>
            </w:r>
          </w:p>
        </w:tc>
        <w:tc>
          <w:tcPr>
            <w:tcW w:w="1000" w:type="dxa"/>
            <w:tcBorders>
              <w:tl2br w:val="nil"/>
              <w:tr2bl w:val="nil"/>
            </w:tcBorders>
            <w:shd w:val="clear" w:color="auto" w:fill="auto"/>
            <w:vAlign w:val="center"/>
          </w:tcPr>
          <w:p w14:paraId="3112DF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7EFC43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01285FB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成型片(龈下豆瓣成形片)</w:t>
            </w:r>
          </w:p>
        </w:tc>
        <w:tc>
          <w:tcPr>
            <w:tcW w:w="2636" w:type="dxa"/>
            <w:tcBorders>
              <w:tl2br w:val="nil"/>
              <w:tr2bl w:val="nil"/>
            </w:tcBorders>
            <w:shd w:val="clear" w:color="auto" w:fill="auto"/>
            <w:vAlign w:val="center"/>
          </w:tcPr>
          <w:p w14:paraId="2076AB8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口腔治疗时的起隔离作用或者辅助修复体成形作用。</w:t>
            </w:r>
          </w:p>
        </w:tc>
        <w:tc>
          <w:tcPr>
            <w:tcW w:w="1227" w:type="dxa"/>
            <w:tcBorders>
              <w:tl2br w:val="nil"/>
              <w:tr2bl w:val="nil"/>
            </w:tcBorders>
            <w:shd w:val="clear" w:color="auto" w:fill="auto"/>
            <w:vAlign w:val="center"/>
          </w:tcPr>
          <w:p w14:paraId="0C1B69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1E4CC0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auto"/>
            <w:vAlign w:val="center"/>
          </w:tcPr>
          <w:p w14:paraId="7ECBE9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985" w:type="dxa"/>
            <w:tcBorders>
              <w:tl2br w:val="nil"/>
              <w:tr2bl w:val="nil"/>
            </w:tcBorders>
            <w:shd w:val="clear" w:color="auto" w:fill="auto"/>
            <w:vAlign w:val="center"/>
          </w:tcPr>
          <w:p w14:paraId="177C0A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1268" w:type="dxa"/>
            <w:tcBorders>
              <w:tl2br w:val="nil"/>
              <w:tr2bl w:val="nil"/>
            </w:tcBorders>
            <w:shd w:val="clear" w:color="auto" w:fill="auto"/>
            <w:vAlign w:val="center"/>
          </w:tcPr>
          <w:p w14:paraId="7F9EAF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450</w:t>
            </w:r>
          </w:p>
        </w:tc>
        <w:tc>
          <w:tcPr>
            <w:tcW w:w="1000" w:type="dxa"/>
            <w:tcBorders>
              <w:tl2br w:val="nil"/>
              <w:tr2bl w:val="nil"/>
            </w:tcBorders>
            <w:shd w:val="clear" w:color="auto" w:fill="auto"/>
            <w:vAlign w:val="center"/>
          </w:tcPr>
          <w:p w14:paraId="5F2AA6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D13B7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7394192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成形片夹(钳式)</w:t>
            </w:r>
          </w:p>
        </w:tc>
        <w:tc>
          <w:tcPr>
            <w:tcW w:w="2636" w:type="dxa"/>
            <w:tcBorders>
              <w:tl2br w:val="nil"/>
              <w:tr2bl w:val="nil"/>
            </w:tcBorders>
            <w:shd w:val="clear" w:color="auto" w:fill="auto"/>
            <w:vAlign w:val="center"/>
          </w:tcPr>
          <w:p w14:paraId="1A5BAC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固定牙科材料，为牙科修复做准备。</w:t>
            </w:r>
          </w:p>
        </w:tc>
        <w:tc>
          <w:tcPr>
            <w:tcW w:w="1227" w:type="dxa"/>
            <w:tcBorders>
              <w:tl2br w:val="nil"/>
              <w:tr2bl w:val="nil"/>
            </w:tcBorders>
            <w:shd w:val="clear" w:color="auto" w:fill="auto"/>
            <w:vAlign w:val="center"/>
          </w:tcPr>
          <w:p w14:paraId="465F13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钳式</w:t>
            </w:r>
          </w:p>
        </w:tc>
        <w:tc>
          <w:tcPr>
            <w:tcW w:w="996" w:type="dxa"/>
            <w:tcBorders>
              <w:tl2br w:val="nil"/>
              <w:tr2bl w:val="nil"/>
            </w:tcBorders>
            <w:shd w:val="clear" w:color="auto" w:fill="auto"/>
            <w:vAlign w:val="center"/>
          </w:tcPr>
          <w:p w14:paraId="543291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auto"/>
            <w:vAlign w:val="center"/>
          </w:tcPr>
          <w:p w14:paraId="4EB14A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52.2</w:t>
            </w:r>
          </w:p>
        </w:tc>
        <w:tc>
          <w:tcPr>
            <w:tcW w:w="985" w:type="dxa"/>
            <w:tcBorders>
              <w:tl2br w:val="nil"/>
              <w:tr2bl w:val="nil"/>
            </w:tcBorders>
            <w:shd w:val="clear" w:color="auto" w:fill="auto"/>
            <w:vAlign w:val="center"/>
          </w:tcPr>
          <w:p w14:paraId="1AED95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268" w:type="dxa"/>
            <w:tcBorders>
              <w:tl2br w:val="nil"/>
              <w:tr2bl w:val="nil"/>
            </w:tcBorders>
            <w:shd w:val="clear" w:color="auto" w:fill="auto"/>
            <w:vAlign w:val="center"/>
          </w:tcPr>
          <w:p w14:paraId="688862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1044</w:t>
            </w:r>
          </w:p>
        </w:tc>
        <w:tc>
          <w:tcPr>
            <w:tcW w:w="1000" w:type="dxa"/>
            <w:tcBorders>
              <w:tl2br w:val="nil"/>
              <w:tr2bl w:val="nil"/>
            </w:tcBorders>
            <w:shd w:val="clear" w:color="auto" w:fill="auto"/>
            <w:vAlign w:val="center"/>
          </w:tcPr>
          <w:p w14:paraId="3347A9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57957A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615F54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牙科输送器</w:t>
            </w:r>
          </w:p>
        </w:tc>
        <w:tc>
          <w:tcPr>
            <w:tcW w:w="2636" w:type="dxa"/>
            <w:tcBorders>
              <w:tl2br w:val="nil"/>
              <w:tr2bl w:val="nil"/>
            </w:tcBorders>
            <w:shd w:val="clear" w:color="auto" w:fill="auto"/>
            <w:vAlign w:val="center"/>
          </w:tcPr>
          <w:p w14:paraId="0B1AC78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用于将填充材料送至目标位置。</w:t>
            </w:r>
          </w:p>
        </w:tc>
        <w:tc>
          <w:tcPr>
            <w:tcW w:w="1227" w:type="dxa"/>
            <w:tcBorders>
              <w:tl2br w:val="nil"/>
              <w:tr2bl w:val="nil"/>
            </w:tcBorders>
            <w:shd w:val="clear" w:color="auto" w:fill="auto"/>
            <w:vAlign w:val="center"/>
          </w:tcPr>
          <w:p w14:paraId="01416D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临时冠枪</w:t>
            </w:r>
          </w:p>
        </w:tc>
        <w:tc>
          <w:tcPr>
            <w:tcW w:w="996" w:type="dxa"/>
            <w:tcBorders>
              <w:tl2br w:val="nil"/>
              <w:tr2bl w:val="nil"/>
            </w:tcBorders>
            <w:shd w:val="clear" w:color="auto" w:fill="auto"/>
            <w:vAlign w:val="center"/>
          </w:tcPr>
          <w:p w14:paraId="4E486F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784FE7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985" w:type="dxa"/>
            <w:tcBorders>
              <w:tl2br w:val="nil"/>
              <w:tr2bl w:val="nil"/>
            </w:tcBorders>
            <w:shd w:val="clear" w:color="auto" w:fill="auto"/>
            <w:vAlign w:val="center"/>
          </w:tcPr>
          <w:p w14:paraId="508E29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68" w:type="dxa"/>
            <w:tcBorders>
              <w:tl2br w:val="nil"/>
              <w:tr2bl w:val="nil"/>
            </w:tcBorders>
            <w:shd w:val="clear" w:color="auto" w:fill="auto"/>
            <w:vAlign w:val="center"/>
          </w:tcPr>
          <w:p w14:paraId="197867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1000" w:type="dxa"/>
            <w:tcBorders>
              <w:tl2br w:val="nil"/>
              <w:tr2bl w:val="nil"/>
            </w:tcBorders>
            <w:shd w:val="clear" w:color="auto" w:fill="auto"/>
            <w:vAlign w:val="center"/>
          </w:tcPr>
          <w:p w14:paraId="022E2F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48C771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2A0CB8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牙科用镊</w:t>
            </w:r>
          </w:p>
        </w:tc>
        <w:tc>
          <w:tcPr>
            <w:tcW w:w="2636" w:type="dxa"/>
            <w:tcBorders>
              <w:tl2br w:val="nil"/>
              <w:tr2bl w:val="nil"/>
            </w:tcBorders>
            <w:shd w:val="clear" w:color="auto" w:fill="auto"/>
            <w:vAlign w:val="center"/>
          </w:tcPr>
          <w:p w14:paraId="12ACA4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用于口腔科检查和治疗时夹持。</w:t>
            </w:r>
          </w:p>
        </w:tc>
        <w:tc>
          <w:tcPr>
            <w:tcW w:w="1227" w:type="dxa"/>
            <w:tcBorders>
              <w:tl2br w:val="nil"/>
              <w:tr2bl w:val="nil"/>
            </w:tcBorders>
            <w:shd w:val="clear" w:color="auto" w:fill="auto"/>
            <w:vAlign w:val="center"/>
          </w:tcPr>
          <w:p w14:paraId="57079B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7C0BF6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00AC55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w:t>
            </w:r>
          </w:p>
        </w:tc>
        <w:tc>
          <w:tcPr>
            <w:tcW w:w="985" w:type="dxa"/>
            <w:tcBorders>
              <w:tl2br w:val="nil"/>
              <w:tr2bl w:val="nil"/>
            </w:tcBorders>
            <w:shd w:val="clear" w:color="auto" w:fill="auto"/>
            <w:vAlign w:val="center"/>
          </w:tcPr>
          <w:p w14:paraId="21DDB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268" w:type="dxa"/>
            <w:tcBorders>
              <w:tl2br w:val="nil"/>
              <w:tr2bl w:val="nil"/>
            </w:tcBorders>
            <w:shd w:val="clear" w:color="auto" w:fill="auto"/>
            <w:vAlign w:val="center"/>
          </w:tcPr>
          <w:p w14:paraId="2AC41F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450</w:t>
            </w:r>
          </w:p>
        </w:tc>
        <w:tc>
          <w:tcPr>
            <w:tcW w:w="1000" w:type="dxa"/>
            <w:tcBorders>
              <w:tl2br w:val="nil"/>
              <w:tr2bl w:val="nil"/>
            </w:tcBorders>
            <w:shd w:val="clear" w:color="auto" w:fill="auto"/>
            <w:vAlign w:val="center"/>
          </w:tcPr>
          <w:p w14:paraId="1217C7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68DC5B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5552508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银汞雕刻刀</w:t>
            </w:r>
          </w:p>
        </w:tc>
        <w:tc>
          <w:tcPr>
            <w:tcW w:w="2636" w:type="dxa"/>
            <w:tcBorders>
              <w:tl2br w:val="nil"/>
              <w:tr2bl w:val="nil"/>
            </w:tcBorders>
            <w:shd w:val="clear" w:color="auto" w:fill="auto"/>
            <w:vAlign w:val="center"/>
          </w:tcPr>
          <w:p w14:paraId="4A2538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供牙科作银汞雕刻刀</w:t>
            </w:r>
          </w:p>
        </w:tc>
        <w:tc>
          <w:tcPr>
            <w:tcW w:w="1227" w:type="dxa"/>
            <w:tcBorders>
              <w:tl2br w:val="nil"/>
              <w:tr2bl w:val="nil"/>
            </w:tcBorders>
            <w:shd w:val="clear" w:color="auto" w:fill="auto"/>
            <w:vAlign w:val="center"/>
          </w:tcPr>
          <w:p w14:paraId="01DB05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80E52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3850A9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c>
          <w:tcPr>
            <w:tcW w:w="985" w:type="dxa"/>
            <w:tcBorders>
              <w:tl2br w:val="nil"/>
              <w:tr2bl w:val="nil"/>
            </w:tcBorders>
            <w:shd w:val="clear" w:color="auto" w:fill="auto"/>
            <w:vAlign w:val="center"/>
          </w:tcPr>
          <w:p w14:paraId="49539A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6B5DC4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08D8B0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108E7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15F1C4B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剔挖器</w:t>
            </w:r>
          </w:p>
        </w:tc>
        <w:tc>
          <w:tcPr>
            <w:tcW w:w="2636" w:type="dxa"/>
            <w:tcBorders>
              <w:tl2br w:val="nil"/>
              <w:tr2bl w:val="nil"/>
            </w:tcBorders>
            <w:shd w:val="clear" w:color="auto" w:fill="auto"/>
            <w:vAlign w:val="center"/>
          </w:tcPr>
          <w:p w14:paraId="7F35909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用于治疗牙髓时挖除冠髓以及牙龈坏死部分。</w:t>
            </w:r>
          </w:p>
        </w:tc>
        <w:tc>
          <w:tcPr>
            <w:tcW w:w="1227" w:type="dxa"/>
            <w:tcBorders>
              <w:tl2br w:val="nil"/>
              <w:tr2bl w:val="nil"/>
            </w:tcBorders>
            <w:shd w:val="clear" w:color="auto" w:fill="auto"/>
            <w:vAlign w:val="center"/>
          </w:tcPr>
          <w:p w14:paraId="4497FC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B3A7F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54A1E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985" w:type="dxa"/>
            <w:tcBorders>
              <w:tl2br w:val="nil"/>
              <w:tr2bl w:val="nil"/>
            </w:tcBorders>
            <w:shd w:val="clear" w:color="auto" w:fill="auto"/>
            <w:vAlign w:val="center"/>
          </w:tcPr>
          <w:p w14:paraId="1E720C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1268" w:type="dxa"/>
            <w:tcBorders>
              <w:tl2br w:val="nil"/>
              <w:tr2bl w:val="nil"/>
            </w:tcBorders>
            <w:shd w:val="clear" w:color="auto" w:fill="auto"/>
            <w:vAlign w:val="center"/>
          </w:tcPr>
          <w:p w14:paraId="2103A5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1620</w:t>
            </w:r>
          </w:p>
        </w:tc>
        <w:tc>
          <w:tcPr>
            <w:tcW w:w="1000" w:type="dxa"/>
            <w:tcBorders>
              <w:tl2br w:val="nil"/>
              <w:tr2bl w:val="nil"/>
            </w:tcBorders>
            <w:shd w:val="clear" w:color="auto" w:fill="auto"/>
            <w:vAlign w:val="center"/>
          </w:tcPr>
          <w:p w14:paraId="7F57EE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682F6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307BD3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牙科去冠器</w:t>
            </w:r>
          </w:p>
        </w:tc>
        <w:tc>
          <w:tcPr>
            <w:tcW w:w="2636" w:type="dxa"/>
            <w:tcBorders>
              <w:tl2br w:val="nil"/>
              <w:tr2bl w:val="nil"/>
            </w:tcBorders>
            <w:shd w:val="clear" w:color="auto" w:fill="auto"/>
            <w:vAlign w:val="center"/>
          </w:tcPr>
          <w:p w14:paraId="4DB0E5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用于去除牙齿上的金属冠。</w:t>
            </w:r>
          </w:p>
        </w:tc>
        <w:tc>
          <w:tcPr>
            <w:tcW w:w="1227" w:type="dxa"/>
            <w:tcBorders>
              <w:tl2br w:val="nil"/>
              <w:tr2bl w:val="nil"/>
            </w:tcBorders>
            <w:shd w:val="clear" w:color="auto" w:fill="auto"/>
            <w:vAlign w:val="center"/>
          </w:tcPr>
          <w:p w14:paraId="5DFA5B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58A9CA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D5278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115.2</w:t>
            </w:r>
          </w:p>
        </w:tc>
        <w:tc>
          <w:tcPr>
            <w:tcW w:w="985" w:type="dxa"/>
            <w:tcBorders>
              <w:tl2br w:val="nil"/>
              <w:tr2bl w:val="nil"/>
            </w:tcBorders>
            <w:shd w:val="clear" w:color="auto" w:fill="auto"/>
            <w:vAlign w:val="center"/>
          </w:tcPr>
          <w:p w14:paraId="7F1E89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268" w:type="dxa"/>
            <w:tcBorders>
              <w:tl2br w:val="nil"/>
              <w:tr2bl w:val="nil"/>
            </w:tcBorders>
            <w:shd w:val="clear" w:color="auto" w:fill="auto"/>
            <w:vAlign w:val="center"/>
          </w:tcPr>
          <w:p w14:paraId="1C0A4C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345.6</w:t>
            </w:r>
          </w:p>
        </w:tc>
        <w:tc>
          <w:tcPr>
            <w:tcW w:w="1000" w:type="dxa"/>
            <w:tcBorders>
              <w:tl2br w:val="nil"/>
              <w:tr2bl w:val="nil"/>
            </w:tcBorders>
            <w:shd w:val="clear" w:color="auto" w:fill="auto"/>
            <w:vAlign w:val="center"/>
          </w:tcPr>
          <w:p w14:paraId="2D9E2B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4BA3D1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4F9699F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金冠剪</w:t>
            </w:r>
          </w:p>
        </w:tc>
        <w:tc>
          <w:tcPr>
            <w:tcW w:w="2636" w:type="dxa"/>
            <w:tcBorders>
              <w:tl2br w:val="nil"/>
              <w:tr2bl w:val="nil"/>
            </w:tcBorders>
            <w:shd w:val="clear" w:color="auto" w:fill="auto"/>
            <w:vAlign w:val="center"/>
          </w:tcPr>
          <w:p w14:paraId="5EE6E0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用于牙科手术中剪切口腔组织或修复体。</w:t>
            </w:r>
          </w:p>
        </w:tc>
        <w:tc>
          <w:tcPr>
            <w:tcW w:w="1227" w:type="dxa"/>
            <w:tcBorders>
              <w:tl2br w:val="nil"/>
              <w:tr2bl w:val="nil"/>
            </w:tcBorders>
            <w:shd w:val="clear" w:color="auto" w:fill="auto"/>
            <w:vAlign w:val="center"/>
          </w:tcPr>
          <w:p w14:paraId="71924D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1538FA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6EC8FC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44.1</w:t>
            </w:r>
          </w:p>
        </w:tc>
        <w:tc>
          <w:tcPr>
            <w:tcW w:w="985" w:type="dxa"/>
            <w:tcBorders>
              <w:tl2br w:val="nil"/>
              <w:tr2bl w:val="nil"/>
            </w:tcBorders>
            <w:shd w:val="clear" w:color="auto" w:fill="auto"/>
            <w:vAlign w:val="center"/>
          </w:tcPr>
          <w:p w14:paraId="3A7C69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68" w:type="dxa"/>
            <w:tcBorders>
              <w:tl2br w:val="nil"/>
              <w:tr2bl w:val="nil"/>
            </w:tcBorders>
            <w:shd w:val="clear" w:color="auto" w:fill="auto"/>
            <w:vAlign w:val="center"/>
          </w:tcPr>
          <w:p w14:paraId="0B3356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88.2</w:t>
            </w:r>
          </w:p>
        </w:tc>
        <w:tc>
          <w:tcPr>
            <w:tcW w:w="1000" w:type="dxa"/>
            <w:tcBorders>
              <w:tl2br w:val="nil"/>
              <w:tr2bl w:val="nil"/>
            </w:tcBorders>
            <w:shd w:val="clear" w:color="auto" w:fill="auto"/>
            <w:vAlign w:val="center"/>
          </w:tcPr>
          <w:p w14:paraId="1F9AEB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8B132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FFFFFF"/>
            <w:vAlign w:val="center"/>
          </w:tcPr>
          <w:p w14:paraId="50CF6A6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研光器</w:t>
            </w:r>
          </w:p>
        </w:tc>
        <w:tc>
          <w:tcPr>
            <w:tcW w:w="2636" w:type="dxa"/>
            <w:tcBorders>
              <w:tl2br w:val="nil"/>
              <w:tr2bl w:val="nil"/>
            </w:tcBorders>
            <w:shd w:val="clear" w:color="auto" w:fill="FFFFFF"/>
            <w:vAlign w:val="center"/>
          </w:tcPr>
          <w:p w14:paraId="4FCE849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用于平滑口腔修复体的粗糙表面。</w:t>
            </w:r>
          </w:p>
        </w:tc>
        <w:tc>
          <w:tcPr>
            <w:tcW w:w="1227" w:type="dxa"/>
            <w:tcBorders>
              <w:tl2br w:val="nil"/>
              <w:tr2bl w:val="nil"/>
            </w:tcBorders>
            <w:shd w:val="clear" w:color="auto" w:fill="FFFFFF"/>
            <w:vAlign w:val="center"/>
          </w:tcPr>
          <w:p w14:paraId="50A0C9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研磨杯</w:t>
            </w:r>
          </w:p>
        </w:tc>
        <w:tc>
          <w:tcPr>
            <w:tcW w:w="996" w:type="dxa"/>
            <w:tcBorders>
              <w:tl2br w:val="nil"/>
              <w:tr2bl w:val="nil"/>
            </w:tcBorders>
            <w:shd w:val="clear" w:color="auto" w:fill="auto"/>
            <w:vAlign w:val="center"/>
          </w:tcPr>
          <w:p w14:paraId="2336D6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auto"/>
            <w:vAlign w:val="center"/>
          </w:tcPr>
          <w:p w14:paraId="26A315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11.66</w:t>
            </w:r>
          </w:p>
        </w:tc>
        <w:tc>
          <w:tcPr>
            <w:tcW w:w="985" w:type="dxa"/>
            <w:tcBorders>
              <w:tl2br w:val="nil"/>
              <w:tr2bl w:val="nil"/>
            </w:tcBorders>
            <w:shd w:val="clear" w:color="auto" w:fill="auto"/>
            <w:vAlign w:val="center"/>
          </w:tcPr>
          <w:p w14:paraId="3A007D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7102CE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FFFFFF"/>
            <w:vAlign w:val="center"/>
          </w:tcPr>
          <w:p w14:paraId="75C592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6E99B3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350F487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纤维桩及其配套用钻</w:t>
            </w:r>
          </w:p>
        </w:tc>
        <w:tc>
          <w:tcPr>
            <w:tcW w:w="2636" w:type="dxa"/>
            <w:tcBorders>
              <w:tl2br w:val="nil"/>
              <w:tr2bl w:val="nil"/>
            </w:tcBorders>
            <w:shd w:val="clear" w:color="auto" w:fill="auto"/>
            <w:vAlign w:val="center"/>
          </w:tcPr>
          <w:p w14:paraId="243216C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1.在没有足够的残留牙体组织的情况下（＜4毫米），本品配套用于口腔临床牙齿残根残冠的修复。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2.启动钻。</w:t>
            </w:r>
          </w:p>
        </w:tc>
        <w:tc>
          <w:tcPr>
            <w:tcW w:w="1227" w:type="dxa"/>
            <w:tcBorders>
              <w:tl2br w:val="nil"/>
              <w:tr2bl w:val="nil"/>
            </w:tcBorders>
            <w:shd w:val="clear" w:color="auto" w:fill="auto"/>
            <w:vAlign w:val="center"/>
          </w:tcPr>
          <w:p w14:paraId="2DD544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58450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690BFC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w:t>
            </w:r>
          </w:p>
        </w:tc>
        <w:tc>
          <w:tcPr>
            <w:tcW w:w="985" w:type="dxa"/>
            <w:tcBorders>
              <w:tl2br w:val="nil"/>
              <w:tr2bl w:val="nil"/>
            </w:tcBorders>
            <w:shd w:val="clear" w:color="auto" w:fill="auto"/>
            <w:vAlign w:val="center"/>
          </w:tcPr>
          <w:p w14:paraId="6B08B3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79FBD3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1A005C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55D382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0672495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纤维桩及其配套用钻</w:t>
            </w:r>
          </w:p>
        </w:tc>
        <w:tc>
          <w:tcPr>
            <w:tcW w:w="2636" w:type="dxa"/>
            <w:tcBorders>
              <w:tl2br w:val="nil"/>
              <w:tr2bl w:val="nil"/>
            </w:tcBorders>
            <w:shd w:val="clear" w:color="auto" w:fill="auto"/>
            <w:vAlign w:val="center"/>
          </w:tcPr>
          <w:p w14:paraId="462306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1.在没有足够的残留牙体组织的情况下（＜4毫米），本品配套用于口腔临床牙齿残根残冠的修复。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2.修整钻。</w:t>
            </w:r>
          </w:p>
        </w:tc>
        <w:tc>
          <w:tcPr>
            <w:tcW w:w="1227" w:type="dxa"/>
            <w:tcBorders>
              <w:tl2br w:val="nil"/>
              <w:tr2bl w:val="nil"/>
            </w:tcBorders>
            <w:shd w:val="clear" w:color="auto" w:fill="auto"/>
            <w:vAlign w:val="center"/>
          </w:tcPr>
          <w:p w14:paraId="3EF52F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212614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2A6758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w:t>
            </w:r>
          </w:p>
        </w:tc>
        <w:tc>
          <w:tcPr>
            <w:tcW w:w="985" w:type="dxa"/>
            <w:tcBorders>
              <w:tl2br w:val="nil"/>
              <w:tr2bl w:val="nil"/>
            </w:tcBorders>
            <w:shd w:val="clear" w:color="auto" w:fill="auto"/>
            <w:vAlign w:val="center"/>
          </w:tcPr>
          <w:p w14:paraId="735C8C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695680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27DB28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3A6260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7C46CBF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纤维桩及其配套用钻</w:t>
            </w:r>
          </w:p>
        </w:tc>
        <w:tc>
          <w:tcPr>
            <w:tcW w:w="2636" w:type="dxa"/>
            <w:tcBorders>
              <w:tl2br w:val="nil"/>
              <w:tr2bl w:val="nil"/>
            </w:tcBorders>
            <w:shd w:val="clear" w:color="auto" w:fill="auto"/>
            <w:vAlign w:val="center"/>
          </w:tcPr>
          <w:p w14:paraId="21A627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1.在没有足够的残留牙体组织的情况下（&lt;4毫米），本产品配套用于口腔临床牙齿残根残冠的修复。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2.末端锥度石英纤维桩。</w:t>
            </w:r>
          </w:p>
        </w:tc>
        <w:tc>
          <w:tcPr>
            <w:tcW w:w="1227" w:type="dxa"/>
            <w:tcBorders>
              <w:tl2br w:val="nil"/>
              <w:tr2bl w:val="nil"/>
            </w:tcBorders>
            <w:shd w:val="clear" w:color="auto" w:fill="auto"/>
            <w:vAlign w:val="center"/>
          </w:tcPr>
          <w:p w14:paraId="6B3A6D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20BCC9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3F3D35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w:t>
            </w:r>
          </w:p>
        </w:tc>
        <w:tc>
          <w:tcPr>
            <w:tcW w:w="985" w:type="dxa"/>
            <w:tcBorders>
              <w:tl2br w:val="nil"/>
              <w:tr2bl w:val="nil"/>
            </w:tcBorders>
            <w:shd w:val="clear" w:color="auto" w:fill="auto"/>
            <w:vAlign w:val="center"/>
          </w:tcPr>
          <w:p w14:paraId="438BF6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5E70B0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1C2830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5D0EC8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7AFD759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超声洁牙机工作尖</w:t>
            </w:r>
          </w:p>
        </w:tc>
        <w:tc>
          <w:tcPr>
            <w:tcW w:w="2636" w:type="dxa"/>
            <w:tcBorders>
              <w:tl2br w:val="nil"/>
              <w:tr2bl w:val="nil"/>
            </w:tcBorders>
            <w:shd w:val="clear" w:color="auto" w:fill="auto"/>
            <w:vAlign w:val="center"/>
          </w:tcPr>
          <w:p w14:paraId="6775F4E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适配于啄木鸟的DTE的超声洁牙机，用于牙齿表面、根管等部位的清洁、修形。</w:t>
            </w:r>
          </w:p>
        </w:tc>
        <w:tc>
          <w:tcPr>
            <w:tcW w:w="1227" w:type="dxa"/>
            <w:tcBorders>
              <w:tl2br w:val="nil"/>
              <w:tr2bl w:val="nil"/>
            </w:tcBorders>
            <w:shd w:val="clear" w:color="auto" w:fill="auto"/>
            <w:vAlign w:val="center"/>
          </w:tcPr>
          <w:p w14:paraId="0C9E71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21mm </w:t>
            </w:r>
          </w:p>
        </w:tc>
        <w:tc>
          <w:tcPr>
            <w:tcW w:w="996" w:type="dxa"/>
            <w:tcBorders>
              <w:tl2br w:val="nil"/>
              <w:tr2bl w:val="nil"/>
            </w:tcBorders>
            <w:shd w:val="clear" w:color="auto" w:fill="auto"/>
            <w:vAlign w:val="center"/>
          </w:tcPr>
          <w:p w14:paraId="47800F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7FE927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191.25</w:t>
            </w:r>
          </w:p>
        </w:tc>
        <w:tc>
          <w:tcPr>
            <w:tcW w:w="985" w:type="dxa"/>
            <w:tcBorders>
              <w:tl2br w:val="nil"/>
              <w:tr2bl w:val="nil"/>
            </w:tcBorders>
            <w:shd w:val="clear" w:color="auto" w:fill="auto"/>
            <w:vAlign w:val="center"/>
          </w:tcPr>
          <w:p w14:paraId="3D444C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38E659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5D7B35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5A5BEC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12C824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纤维根管桩修复系统</w:t>
            </w:r>
          </w:p>
        </w:tc>
        <w:tc>
          <w:tcPr>
            <w:tcW w:w="2636" w:type="dxa"/>
            <w:tcBorders>
              <w:tl2br w:val="nil"/>
              <w:tr2bl w:val="nil"/>
            </w:tcBorders>
            <w:shd w:val="clear" w:color="auto" w:fill="auto"/>
            <w:vAlign w:val="center"/>
          </w:tcPr>
          <w:p w14:paraId="4F405CE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用于根管内为桩核打孔、扩孔；</w:t>
            </w:r>
          </w:p>
        </w:tc>
        <w:tc>
          <w:tcPr>
            <w:tcW w:w="1227" w:type="dxa"/>
            <w:tcBorders>
              <w:tl2br w:val="nil"/>
              <w:tr2bl w:val="nil"/>
            </w:tcBorders>
            <w:shd w:val="clear" w:color="auto" w:fill="auto"/>
            <w:vAlign w:val="center"/>
          </w:tcPr>
          <w:p w14:paraId="5DAA08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3F4822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19156B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156</w:t>
            </w:r>
          </w:p>
        </w:tc>
        <w:tc>
          <w:tcPr>
            <w:tcW w:w="985" w:type="dxa"/>
            <w:tcBorders>
              <w:tl2br w:val="nil"/>
              <w:tr2bl w:val="nil"/>
            </w:tcBorders>
            <w:shd w:val="clear" w:color="auto" w:fill="auto"/>
            <w:vAlign w:val="center"/>
          </w:tcPr>
          <w:p w14:paraId="2E5E91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268" w:type="dxa"/>
            <w:tcBorders>
              <w:tl2br w:val="nil"/>
              <w:tr2bl w:val="nil"/>
            </w:tcBorders>
            <w:shd w:val="clear" w:color="auto" w:fill="auto"/>
            <w:vAlign w:val="center"/>
          </w:tcPr>
          <w:p w14:paraId="6A53DC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4056</w:t>
            </w:r>
          </w:p>
        </w:tc>
        <w:tc>
          <w:tcPr>
            <w:tcW w:w="1000" w:type="dxa"/>
            <w:tcBorders>
              <w:tl2br w:val="nil"/>
              <w:tr2bl w:val="nil"/>
            </w:tcBorders>
            <w:shd w:val="clear" w:color="auto" w:fill="auto"/>
            <w:vAlign w:val="center"/>
          </w:tcPr>
          <w:p w14:paraId="3CA8C4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1A32C9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2397859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根管锉(镍钛根扩-手用)</w:t>
            </w:r>
          </w:p>
        </w:tc>
        <w:tc>
          <w:tcPr>
            <w:tcW w:w="2636" w:type="dxa"/>
            <w:tcBorders>
              <w:tl2br w:val="nil"/>
              <w:tr2bl w:val="nil"/>
            </w:tcBorders>
            <w:shd w:val="clear" w:color="auto" w:fill="auto"/>
            <w:vAlign w:val="center"/>
          </w:tcPr>
          <w:p w14:paraId="1991C5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用于牙科治疗中对根管进行切削、平整、清洁、塑形。</w:t>
            </w:r>
          </w:p>
        </w:tc>
        <w:tc>
          <w:tcPr>
            <w:tcW w:w="1227" w:type="dxa"/>
            <w:tcBorders>
              <w:tl2br w:val="nil"/>
              <w:tr2bl w:val="nil"/>
            </w:tcBorders>
            <w:shd w:val="clear" w:color="auto" w:fill="auto"/>
            <w:vAlign w:val="center"/>
          </w:tcPr>
          <w:p w14:paraId="1AF859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7A6A94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03E913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58.33</w:t>
            </w:r>
          </w:p>
        </w:tc>
        <w:tc>
          <w:tcPr>
            <w:tcW w:w="985" w:type="dxa"/>
            <w:tcBorders>
              <w:tl2br w:val="nil"/>
              <w:tr2bl w:val="nil"/>
            </w:tcBorders>
            <w:shd w:val="clear" w:color="auto" w:fill="auto"/>
            <w:vAlign w:val="center"/>
          </w:tcPr>
          <w:p w14:paraId="55B538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268" w:type="dxa"/>
            <w:tcBorders>
              <w:tl2br w:val="nil"/>
              <w:tr2bl w:val="nil"/>
            </w:tcBorders>
            <w:shd w:val="clear" w:color="auto" w:fill="auto"/>
            <w:vAlign w:val="center"/>
          </w:tcPr>
          <w:p w14:paraId="456EE0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349.98</w:t>
            </w:r>
          </w:p>
        </w:tc>
        <w:tc>
          <w:tcPr>
            <w:tcW w:w="1000" w:type="dxa"/>
            <w:tcBorders>
              <w:tl2br w:val="nil"/>
              <w:tr2bl w:val="nil"/>
            </w:tcBorders>
            <w:shd w:val="clear" w:color="auto" w:fill="auto"/>
            <w:vAlign w:val="center"/>
          </w:tcPr>
          <w:p w14:paraId="79B661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33E8C8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2BF938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根管锉(H锉)</w:t>
            </w:r>
          </w:p>
        </w:tc>
        <w:tc>
          <w:tcPr>
            <w:tcW w:w="2636" w:type="dxa"/>
            <w:tcBorders>
              <w:tl2br w:val="nil"/>
              <w:tr2bl w:val="nil"/>
            </w:tcBorders>
            <w:shd w:val="clear" w:color="auto" w:fill="auto"/>
            <w:vAlign w:val="center"/>
          </w:tcPr>
          <w:p w14:paraId="43C9141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用于牙科治疗中对根管进行平整、塑形</w:t>
            </w:r>
          </w:p>
        </w:tc>
        <w:tc>
          <w:tcPr>
            <w:tcW w:w="1227" w:type="dxa"/>
            <w:tcBorders>
              <w:tl2br w:val="nil"/>
              <w:tr2bl w:val="nil"/>
            </w:tcBorders>
            <w:shd w:val="clear" w:color="auto" w:fill="auto"/>
            <w:vAlign w:val="center"/>
          </w:tcPr>
          <w:p w14:paraId="4F2B8C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521259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054905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985" w:type="dxa"/>
            <w:tcBorders>
              <w:tl2br w:val="nil"/>
              <w:tr2bl w:val="nil"/>
            </w:tcBorders>
            <w:shd w:val="clear" w:color="auto" w:fill="auto"/>
            <w:vAlign w:val="center"/>
          </w:tcPr>
          <w:p w14:paraId="11B743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4626</w:t>
            </w:r>
          </w:p>
        </w:tc>
        <w:tc>
          <w:tcPr>
            <w:tcW w:w="1268" w:type="dxa"/>
            <w:tcBorders>
              <w:tl2br w:val="nil"/>
              <w:tr2bl w:val="nil"/>
            </w:tcBorders>
            <w:shd w:val="clear" w:color="auto" w:fill="auto"/>
            <w:vAlign w:val="center"/>
          </w:tcPr>
          <w:p w14:paraId="3EB525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20817</w:t>
            </w:r>
          </w:p>
        </w:tc>
        <w:tc>
          <w:tcPr>
            <w:tcW w:w="1000" w:type="dxa"/>
            <w:tcBorders>
              <w:tl2br w:val="nil"/>
              <w:tr2bl w:val="nil"/>
            </w:tcBorders>
            <w:shd w:val="clear" w:color="auto" w:fill="auto"/>
            <w:vAlign w:val="center"/>
          </w:tcPr>
          <w:p w14:paraId="3D5C5F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46D68B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2272104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根管锉(K锉)</w:t>
            </w:r>
          </w:p>
        </w:tc>
        <w:tc>
          <w:tcPr>
            <w:tcW w:w="2636" w:type="dxa"/>
            <w:tcBorders>
              <w:tl2br w:val="nil"/>
              <w:tr2bl w:val="nil"/>
            </w:tcBorders>
            <w:shd w:val="clear" w:color="auto" w:fill="auto"/>
            <w:vAlign w:val="center"/>
          </w:tcPr>
          <w:p w14:paraId="1524614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用于牙科治疗中对根管进行平整、塑形</w:t>
            </w:r>
          </w:p>
        </w:tc>
        <w:tc>
          <w:tcPr>
            <w:tcW w:w="1227" w:type="dxa"/>
            <w:tcBorders>
              <w:tl2br w:val="nil"/>
              <w:tr2bl w:val="nil"/>
            </w:tcBorders>
            <w:shd w:val="clear" w:color="auto" w:fill="auto"/>
            <w:vAlign w:val="center"/>
          </w:tcPr>
          <w:p w14:paraId="62646F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3AE14F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2F3155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985" w:type="dxa"/>
            <w:tcBorders>
              <w:tl2br w:val="nil"/>
              <w:tr2bl w:val="nil"/>
            </w:tcBorders>
            <w:shd w:val="clear" w:color="auto" w:fill="auto"/>
            <w:vAlign w:val="center"/>
          </w:tcPr>
          <w:p w14:paraId="4655B0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6690</w:t>
            </w:r>
          </w:p>
        </w:tc>
        <w:tc>
          <w:tcPr>
            <w:tcW w:w="1268" w:type="dxa"/>
            <w:tcBorders>
              <w:tl2br w:val="nil"/>
              <w:tr2bl w:val="nil"/>
            </w:tcBorders>
            <w:shd w:val="clear" w:color="auto" w:fill="auto"/>
            <w:vAlign w:val="center"/>
          </w:tcPr>
          <w:p w14:paraId="47FFC7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30105</w:t>
            </w:r>
          </w:p>
        </w:tc>
        <w:tc>
          <w:tcPr>
            <w:tcW w:w="1000" w:type="dxa"/>
            <w:tcBorders>
              <w:tl2br w:val="nil"/>
              <w:tr2bl w:val="nil"/>
            </w:tcBorders>
            <w:shd w:val="clear" w:color="auto" w:fill="auto"/>
            <w:vAlign w:val="center"/>
          </w:tcPr>
          <w:p w14:paraId="3B9D97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61451B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3258718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根管扩大针</w:t>
            </w:r>
          </w:p>
        </w:tc>
        <w:tc>
          <w:tcPr>
            <w:tcW w:w="2636" w:type="dxa"/>
            <w:tcBorders>
              <w:tl2br w:val="nil"/>
              <w:tr2bl w:val="nil"/>
            </w:tcBorders>
            <w:shd w:val="clear" w:color="auto" w:fill="auto"/>
            <w:vAlign w:val="center"/>
          </w:tcPr>
          <w:p w14:paraId="719885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用于口腔科扩大根管</w:t>
            </w:r>
          </w:p>
        </w:tc>
        <w:tc>
          <w:tcPr>
            <w:tcW w:w="1227" w:type="dxa"/>
            <w:tcBorders>
              <w:tl2br w:val="nil"/>
              <w:tr2bl w:val="nil"/>
            </w:tcBorders>
            <w:shd w:val="clear" w:color="auto" w:fill="auto"/>
            <w:vAlign w:val="center"/>
          </w:tcPr>
          <w:p w14:paraId="3B0A2E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2478EC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6F93B2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85" w:type="dxa"/>
            <w:tcBorders>
              <w:tl2br w:val="nil"/>
              <w:tr2bl w:val="nil"/>
            </w:tcBorders>
            <w:shd w:val="clear" w:color="auto" w:fill="auto"/>
            <w:vAlign w:val="center"/>
          </w:tcPr>
          <w:p w14:paraId="261D36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384</w:t>
            </w:r>
          </w:p>
        </w:tc>
        <w:tc>
          <w:tcPr>
            <w:tcW w:w="1268" w:type="dxa"/>
            <w:tcBorders>
              <w:tl2br w:val="nil"/>
              <w:tr2bl w:val="nil"/>
            </w:tcBorders>
            <w:shd w:val="clear" w:color="auto" w:fill="auto"/>
            <w:vAlign w:val="center"/>
          </w:tcPr>
          <w:p w14:paraId="69D1C8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1920</w:t>
            </w:r>
          </w:p>
        </w:tc>
        <w:tc>
          <w:tcPr>
            <w:tcW w:w="1000" w:type="dxa"/>
            <w:tcBorders>
              <w:tl2br w:val="nil"/>
              <w:tr2bl w:val="nil"/>
            </w:tcBorders>
            <w:shd w:val="clear" w:color="auto" w:fill="auto"/>
            <w:vAlign w:val="center"/>
          </w:tcPr>
          <w:p w14:paraId="28C1F9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6C3FF1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1B2549D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根管扩大器（G钻)</w:t>
            </w:r>
          </w:p>
        </w:tc>
        <w:tc>
          <w:tcPr>
            <w:tcW w:w="2636" w:type="dxa"/>
            <w:tcBorders>
              <w:tl2br w:val="nil"/>
              <w:tr2bl w:val="nil"/>
            </w:tcBorders>
            <w:shd w:val="clear" w:color="auto" w:fill="auto"/>
            <w:vAlign w:val="center"/>
          </w:tcPr>
          <w:p w14:paraId="075092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用于根管治疗时，扩大根管入口。</w:t>
            </w:r>
          </w:p>
        </w:tc>
        <w:tc>
          <w:tcPr>
            <w:tcW w:w="1227" w:type="dxa"/>
            <w:tcBorders>
              <w:tl2br w:val="nil"/>
              <w:tr2bl w:val="nil"/>
            </w:tcBorders>
            <w:shd w:val="clear" w:color="auto" w:fill="auto"/>
            <w:vAlign w:val="center"/>
          </w:tcPr>
          <w:p w14:paraId="458634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5F5E62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46132A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9.33</w:t>
            </w:r>
          </w:p>
        </w:tc>
        <w:tc>
          <w:tcPr>
            <w:tcW w:w="985" w:type="dxa"/>
            <w:tcBorders>
              <w:tl2br w:val="nil"/>
              <w:tr2bl w:val="nil"/>
            </w:tcBorders>
            <w:shd w:val="clear" w:color="auto" w:fill="auto"/>
            <w:vAlign w:val="center"/>
          </w:tcPr>
          <w:p w14:paraId="38FF3F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775BC8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74EB55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6ED54F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068972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根管扩大器(P钻)</w:t>
            </w:r>
          </w:p>
        </w:tc>
        <w:tc>
          <w:tcPr>
            <w:tcW w:w="2636" w:type="dxa"/>
            <w:tcBorders>
              <w:tl2br w:val="nil"/>
              <w:tr2bl w:val="nil"/>
            </w:tcBorders>
            <w:shd w:val="clear" w:color="auto" w:fill="auto"/>
            <w:vAlign w:val="center"/>
          </w:tcPr>
          <w:p w14:paraId="372003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用于根管治疗时，扩大根管入口。</w:t>
            </w:r>
          </w:p>
        </w:tc>
        <w:tc>
          <w:tcPr>
            <w:tcW w:w="1227" w:type="dxa"/>
            <w:tcBorders>
              <w:tl2br w:val="nil"/>
              <w:tr2bl w:val="nil"/>
            </w:tcBorders>
            <w:shd w:val="clear" w:color="auto" w:fill="auto"/>
            <w:vAlign w:val="center"/>
          </w:tcPr>
          <w:p w14:paraId="532D2A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1E92FB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375BC2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9.33</w:t>
            </w:r>
          </w:p>
        </w:tc>
        <w:tc>
          <w:tcPr>
            <w:tcW w:w="985" w:type="dxa"/>
            <w:tcBorders>
              <w:tl2br w:val="nil"/>
              <w:tr2bl w:val="nil"/>
            </w:tcBorders>
            <w:shd w:val="clear" w:color="auto" w:fill="auto"/>
            <w:vAlign w:val="center"/>
          </w:tcPr>
          <w:p w14:paraId="19C88B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0F8A3B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5491FE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733BD3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5890A32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根管充填器(手动垂直加压)</w:t>
            </w:r>
          </w:p>
        </w:tc>
        <w:tc>
          <w:tcPr>
            <w:tcW w:w="2636" w:type="dxa"/>
            <w:tcBorders>
              <w:tl2br w:val="nil"/>
              <w:tr2bl w:val="nil"/>
            </w:tcBorders>
            <w:shd w:val="clear" w:color="auto" w:fill="auto"/>
            <w:vAlign w:val="center"/>
          </w:tcPr>
          <w:p w14:paraId="4E25698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用于将充填材料压入目标位置。</w:t>
            </w:r>
          </w:p>
        </w:tc>
        <w:tc>
          <w:tcPr>
            <w:tcW w:w="1227" w:type="dxa"/>
            <w:tcBorders>
              <w:tl2br w:val="nil"/>
              <w:tr2bl w:val="nil"/>
            </w:tcBorders>
            <w:shd w:val="clear" w:color="auto" w:fill="auto"/>
            <w:vAlign w:val="center"/>
          </w:tcPr>
          <w:p w14:paraId="2804D0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46B6A9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6E305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480</w:t>
            </w:r>
          </w:p>
        </w:tc>
        <w:tc>
          <w:tcPr>
            <w:tcW w:w="985" w:type="dxa"/>
            <w:tcBorders>
              <w:tl2br w:val="nil"/>
              <w:tr2bl w:val="nil"/>
            </w:tcBorders>
            <w:shd w:val="clear" w:color="auto" w:fill="auto"/>
            <w:vAlign w:val="center"/>
          </w:tcPr>
          <w:p w14:paraId="6820FA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268" w:type="dxa"/>
            <w:tcBorders>
              <w:tl2br w:val="nil"/>
              <w:tr2bl w:val="nil"/>
            </w:tcBorders>
            <w:shd w:val="clear" w:color="auto" w:fill="auto"/>
            <w:vAlign w:val="center"/>
          </w:tcPr>
          <w:p w14:paraId="20D732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1440</w:t>
            </w:r>
          </w:p>
        </w:tc>
        <w:tc>
          <w:tcPr>
            <w:tcW w:w="1000" w:type="dxa"/>
            <w:tcBorders>
              <w:tl2br w:val="nil"/>
              <w:tr2bl w:val="nil"/>
            </w:tcBorders>
            <w:shd w:val="clear" w:color="auto" w:fill="auto"/>
            <w:vAlign w:val="center"/>
          </w:tcPr>
          <w:p w14:paraId="0D2D95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2A487E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32F508C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根管充填器</w:t>
            </w:r>
          </w:p>
        </w:tc>
        <w:tc>
          <w:tcPr>
            <w:tcW w:w="2636" w:type="dxa"/>
            <w:tcBorders>
              <w:tl2br w:val="nil"/>
              <w:tr2bl w:val="nil"/>
            </w:tcBorders>
            <w:shd w:val="clear" w:color="auto" w:fill="auto"/>
            <w:vAlign w:val="center"/>
          </w:tcPr>
          <w:p w14:paraId="04893E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用于将充填材料输送、填入至目标位置。</w:t>
            </w:r>
          </w:p>
        </w:tc>
        <w:tc>
          <w:tcPr>
            <w:tcW w:w="1227" w:type="dxa"/>
            <w:tcBorders>
              <w:tl2br w:val="nil"/>
              <w:tr2bl w:val="nil"/>
            </w:tcBorders>
            <w:shd w:val="clear" w:color="auto" w:fill="auto"/>
            <w:vAlign w:val="center"/>
          </w:tcPr>
          <w:p w14:paraId="095777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2E437A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62C80A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19.8</w:t>
            </w:r>
          </w:p>
        </w:tc>
        <w:tc>
          <w:tcPr>
            <w:tcW w:w="985" w:type="dxa"/>
            <w:tcBorders>
              <w:tl2br w:val="nil"/>
              <w:tr2bl w:val="nil"/>
            </w:tcBorders>
            <w:shd w:val="clear" w:color="auto" w:fill="auto"/>
            <w:vAlign w:val="center"/>
          </w:tcPr>
          <w:p w14:paraId="5477E5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07E60A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50B36D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7DF81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5A26DE4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根管充填器(侧压器)</w:t>
            </w:r>
          </w:p>
        </w:tc>
        <w:tc>
          <w:tcPr>
            <w:tcW w:w="2636" w:type="dxa"/>
            <w:tcBorders>
              <w:tl2br w:val="nil"/>
              <w:tr2bl w:val="nil"/>
            </w:tcBorders>
            <w:shd w:val="clear" w:color="auto" w:fill="auto"/>
            <w:vAlign w:val="center"/>
          </w:tcPr>
          <w:p w14:paraId="6E1A9BF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用于将充填材料输送、填入至目标位置。</w:t>
            </w:r>
          </w:p>
        </w:tc>
        <w:tc>
          <w:tcPr>
            <w:tcW w:w="1227" w:type="dxa"/>
            <w:tcBorders>
              <w:tl2br w:val="nil"/>
              <w:tr2bl w:val="nil"/>
            </w:tcBorders>
            <w:shd w:val="clear" w:color="auto" w:fill="auto"/>
            <w:vAlign w:val="center"/>
          </w:tcPr>
          <w:p w14:paraId="584FA2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762E23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04728F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46.8</w:t>
            </w:r>
          </w:p>
        </w:tc>
        <w:tc>
          <w:tcPr>
            <w:tcW w:w="985" w:type="dxa"/>
            <w:tcBorders>
              <w:tl2br w:val="nil"/>
              <w:tr2bl w:val="nil"/>
            </w:tcBorders>
            <w:shd w:val="clear" w:color="auto" w:fill="auto"/>
            <w:vAlign w:val="center"/>
          </w:tcPr>
          <w:p w14:paraId="713897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68" w:type="dxa"/>
            <w:tcBorders>
              <w:tl2br w:val="nil"/>
              <w:tr2bl w:val="nil"/>
            </w:tcBorders>
            <w:shd w:val="clear" w:color="auto" w:fill="auto"/>
            <w:vAlign w:val="center"/>
          </w:tcPr>
          <w:p w14:paraId="37E17A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93.6</w:t>
            </w:r>
          </w:p>
        </w:tc>
        <w:tc>
          <w:tcPr>
            <w:tcW w:w="1000" w:type="dxa"/>
            <w:tcBorders>
              <w:tl2br w:val="nil"/>
              <w:tr2bl w:val="nil"/>
            </w:tcBorders>
            <w:shd w:val="clear" w:color="auto" w:fill="auto"/>
            <w:vAlign w:val="center"/>
          </w:tcPr>
          <w:p w14:paraId="198C6A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4BB3A5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42A7FC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根管充填器(垂直加压器-双头)</w:t>
            </w:r>
          </w:p>
        </w:tc>
        <w:tc>
          <w:tcPr>
            <w:tcW w:w="2636" w:type="dxa"/>
            <w:tcBorders>
              <w:tl2br w:val="nil"/>
              <w:tr2bl w:val="nil"/>
            </w:tcBorders>
            <w:shd w:val="clear" w:color="auto" w:fill="auto"/>
            <w:vAlign w:val="center"/>
          </w:tcPr>
          <w:p w14:paraId="229CC3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用于将充填材料输送、填入至目标位置。</w:t>
            </w:r>
          </w:p>
        </w:tc>
        <w:tc>
          <w:tcPr>
            <w:tcW w:w="1227" w:type="dxa"/>
            <w:tcBorders>
              <w:tl2br w:val="nil"/>
              <w:tr2bl w:val="nil"/>
            </w:tcBorders>
            <w:shd w:val="clear" w:color="auto" w:fill="auto"/>
            <w:vAlign w:val="center"/>
          </w:tcPr>
          <w:p w14:paraId="6A8842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3B8812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10432E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61.2</w:t>
            </w:r>
          </w:p>
        </w:tc>
        <w:tc>
          <w:tcPr>
            <w:tcW w:w="985" w:type="dxa"/>
            <w:tcBorders>
              <w:tl2br w:val="nil"/>
              <w:tr2bl w:val="nil"/>
            </w:tcBorders>
            <w:shd w:val="clear" w:color="auto" w:fill="auto"/>
            <w:vAlign w:val="center"/>
          </w:tcPr>
          <w:p w14:paraId="6AF4DD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268" w:type="dxa"/>
            <w:tcBorders>
              <w:tl2br w:val="nil"/>
              <w:tr2bl w:val="nil"/>
            </w:tcBorders>
            <w:shd w:val="clear" w:color="auto" w:fill="auto"/>
            <w:vAlign w:val="center"/>
          </w:tcPr>
          <w:p w14:paraId="6267B7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244.8</w:t>
            </w:r>
          </w:p>
        </w:tc>
        <w:tc>
          <w:tcPr>
            <w:tcW w:w="1000" w:type="dxa"/>
            <w:tcBorders>
              <w:tl2br w:val="nil"/>
              <w:tr2bl w:val="nil"/>
            </w:tcBorders>
            <w:shd w:val="clear" w:color="auto" w:fill="auto"/>
            <w:vAlign w:val="center"/>
          </w:tcPr>
          <w:p w14:paraId="387232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E1A48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106AD65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牙科树脂充填器(树脂修整器)</w:t>
            </w:r>
          </w:p>
        </w:tc>
        <w:tc>
          <w:tcPr>
            <w:tcW w:w="2636" w:type="dxa"/>
            <w:tcBorders>
              <w:tl2br w:val="nil"/>
              <w:tr2bl w:val="nil"/>
            </w:tcBorders>
            <w:shd w:val="clear" w:color="auto" w:fill="auto"/>
            <w:vAlign w:val="center"/>
          </w:tcPr>
          <w:p w14:paraId="4CEF38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用于将充填材料压入目标位置。</w:t>
            </w:r>
          </w:p>
        </w:tc>
        <w:tc>
          <w:tcPr>
            <w:tcW w:w="1227" w:type="dxa"/>
            <w:tcBorders>
              <w:tl2br w:val="nil"/>
              <w:tr2bl w:val="nil"/>
            </w:tcBorders>
            <w:shd w:val="clear" w:color="auto" w:fill="auto"/>
            <w:vAlign w:val="center"/>
          </w:tcPr>
          <w:p w14:paraId="4B5B0F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双头</w:t>
            </w:r>
          </w:p>
        </w:tc>
        <w:tc>
          <w:tcPr>
            <w:tcW w:w="996" w:type="dxa"/>
            <w:tcBorders>
              <w:tl2br w:val="nil"/>
              <w:tr2bl w:val="nil"/>
            </w:tcBorders>
            <w:shd w:val="clear" w:color="auto" w:fill="auto"/>
            <w:vAlign w:val="center"/>
          </w:tcPr>
          <w:p w14:paraId="44D869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770E93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985" w:type="dxa"/>
            <w:tcBorders>
              <w:tl2br w:val="nil"/>
              <w:tr2bl w:val="nil"/>
            </w:tcBorders>
            <w:shd w:val="clear" w:color="auto" w:fill="auto"/>
            <w:vAlign w:val="center"/>
          </w:tcPr>
          <w:p w14:paraId="5AE2AF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268" w:type="dxa"/>
            <w:tcBorders>
              <w:tl2br w:val="nil"/>
              <w:tr2bl w:val="nil"/>
            </w:tcBorders>
            <w:shd w:val="clear" w:color="auto" w:fill="auto"/>
            <w:vAlign w:val="center"/>
          </w:tcPr>
          <w:p w14:paraId="3ED15B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612</w:t>
            </w:r>
          </w:p>
        </w:tc>
        <w:tc>
          <w:tcPr>
            <w:tcW w:w="1000" w:type="dxa"/>
            <w:tcBorders>
              <w:tl2br w:val="nil"/>
              <w:tr2bl w:val="nil"/>
            </w:tcBorders>
            <w:shd w:val="clear" w:color="auto" w:fill="auto"/>
            <w:vAlign w:val="center"/>
          </w:tcPr>
          <w:p w14:paraId="25AD32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3533AA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77D437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水门汀充填器</w:t>
            </w:r>
          </w:p>
        </w:tc>
        <w:tc>
          <w:tcPr>
            <w:tcW w:w="2636" w:type="dxa"/>
            <w:tcBorders>
              <w:tl2br w:val="nil"/>
              <w:tr2bl w:val="nil"/>
            </w:tcBorders>
            <w:shd w:val="clear" w:color="auto" w:fill="auto"/>
            <w:vAlign w:val="center"/>
          </w:tcPr>
          <w:p w14:paraId="7F0EB7B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用于将充填材料压入目标位置。</w:t>
            </w:r>
          </w:p>
        </w:tc>
        <w:tc>
          <w:tcPr>
            <w:tcW w:w="1227" w:type="dxa"/>
            <w:tcBorders>
              <w:tl2br w:val="nil"/>
              <w:tr2bl w:val="nil"/>
            </w:tcBorders>
            <w:shd w:val="clear" w:color="auto" w:fill="auto"/>
            <w:vAlign w:val="center"/>
          </w:tcPr>
          <w:p w14:paraId="7CC3BF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B0E87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2FD74E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c>
          <w:tcPr>
            <w:tcW w:w="985" w:type="dxa"/>
            <w:tcBorders>
              <w:tl2br w:val="nil"/>
              <w:tr2bl w:val="nil"/>
            </w:tcBorders>
            <w:shd w:val="clear" w:color="auto" w:fill="auto"/>
            <w:vAlign w:val="center"/>
          </w:tcPr>
          <w:p w14:paraId="23D17F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268" w:type="dxa"/>
            <w:tcBorders>
              <w:tl2br w:val="nil"/>
              <w:tr2bl w:val="nil"/>
            </w:tcBorders>
            <w:shd w:val="clear" w:color="auto" w:fill="auto"/>
            <w:vAlign w:val="center"/>
          </w:tcPr>
          <w:p w14:paraId="00C965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1260</w:t>
            </w:r>
          </w:p>
        </w:tc>
        <w:tc>
          <w:tcPr>
            <w:tcW w:w="1000" w:type="dxa"/>
            <w:tcBorders>
              <w:tl2br w:val="nil"/>
              <w:tr2bl w:val="nil"/>
            </w:tcBorders>
            <w:shd w:val="clear" w:color="auto" w:fill="auto"/>
            <w:vAlign w:val="center"/>
          </w:tcPr>
          <w:p w14:paraId="0230A8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4938B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65FE0B4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牙科抛光条(金属打磨条)</w:t>
            </w:r>
          </w:p>
        </w:tc>
        <w:tc>
          <w:tcPr>
            <w:tcW w:w="2636" w:type="dxa"/>
            <w:tcBorders>
              <w:tl2br w:val="nil"/>
              <w:tr2bl w:val="nil"/>
            </w:tcBorders>
            <w:shd w:val="clear" w:color="auto" w:fill="auto"/>
            <w:vAlign w:val="center"/>
          </w:tcPr>
          <w:p w14:paraId="0AB4BE3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用于各种充填材料的修整、打磨、抛光</w:t>
            </w:r>
          </w:p>
        </w:tc>
        <w:tc>
          <w:tcPr>
            <w:tcW w:w="1227" w:type="dxa"/>
            <w:tcBorders>
              <w:tl2br w:val="nil"/>
              <w:tr2bl w:val="nil"/>
            </w:tcBorders>
            <w:shd w:val="clear" w:color="auto" w:fill="auto"/>
            <w:vAlign w:val="center"/>
          </w:tcPr>
          <w:p w14:paraId="725D9B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13B7D5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1281" w:type="dxa"/>
            <w:tcBorders>
              <w:tl2br w:val="nil"/>
              <w:tr2bl w:val="nil"/>
            </w:tcBorders>
            <w:shd w:val="clear" w:color="auto" w:fill="auto"/>
            <w:vAlign w:val="center"/>
          </w:tcPr>
          <w:p w14:paraId="1B9FD6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985" w:type="dxa"/>
            <w:tcBorders>
              <w:tl2br w:val="nil"/>
              <w:tr2bl w:val="nil"/>
            </w:tcBorders>
            <w:shd w:val="clear" w:color="auto" w:fill="auto"/>
            <w:vAlign w:val="center"/>
          </w:tcPr>
          <w:p w14:paraId="4FAC44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268" w:type="dxa"/>
            <w:tcBorders>
              <w:tl2br w:val="nil"/>
              <w:tr2bl w:val="nil"/>
            </w:tcBorders>
            <w:shd w:val="clear" w:color="auto" w:fill="auto"/>
            <w:vAlign w:val="center"/>
          </w:tcPr>
          <w:p w14:paraId="597F00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1080</w:t>
            </w:r>
          </w:p>
        </w:tc>
        <w:tc>
          <w:tcPr>
            <w:tcW w:w="1000" w:type="dxa"/>
            <w:tcBorders>
              <w:tl2br w:val="nil"/>
              <w:tr2bl w:val="nil"/>
            </w:tcBorders>
            <w:shd w:val="clear" w:color="auto" w:fill="auto"/>
            <w:vAlign w:val="center"/>
          </w:tcPr>
          <w:p w14:paraId="0F99EC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5E2907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1FDC703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热牙胶充填机(β-银针)</w:t>
            </w:r>
          </w:p>
        </w:tc>
        <w:tc>
          <w:tcPr>
            <w:tcW w:w="2636" w:type="dxa"/>
            <w:tcBorders>
              <w:tl2br w:val="nil"/>
              <w:tr2bl w:val="nil"/>
            </w:tcBorders>
            <w:shd w:val="clear" w:color="auto" w:fill="auto"/>
            <w:vAlign w:val="center"/>
          </w:tcPr>
          <w:p w14:paraId="4E777BD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本产品用于加热牙胶，并将热牙胶充填入已预备好的牙齿根管内，以快速完全地封闭根管。</w:t>
            </w:r>
          </w:p>
        </w:tc>
        <w:tc>
          <w:tcPr>
            <w:tcW w:w="1227" w:type="dxa"/>
            <w:tcBorders>
              <w:tl2br w:val="nil"/>
              <w:tr2bl w:val="nil"/>
            </w:tcBorders>
            <w:shd w:val="clear" w:color="auto" w:fill="auto"/>
            <w:vAlign w:val="center"/>
          </w:tcPr>
          <w:p w14:paraId="112FC8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2D16B0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1281" w:type="dxa"/>
            <w:tcBorders>
              <w:tl2br w:val="nil"/>
              <w:tr2bl w:val="nil"/>
            </w:tcBorders>
            <w:shd w:val="clear" w:color="auto" w:fill="auto"/>
            <w:vAlign w:val="center"/>
          </w:tcPr>
          <w:p w14:paraId="012596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w:t>
            </w:r>
          </w:p>
        </w:tc>
        <w:tc>
          <w:tcPr>
            <w:tcW w:w="985" w:type="dxa"/>
            <w:tcBorders>
              <w:tl2br w:val="nil"/>
              <w:tr2bl w:val="nil"/>
            </w:tcBorders>
            <w:shd w:val="clear" w:color="auto" w:fill="auto"/>
            <w:vAlign w:val="center"/>
          </w:tcPr>
          <w:p w14:paraId="3687E8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5B53A0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358E59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11AACC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46EFEB6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拔髓针</w:t>
            </w:r>
          </w:p>
        </w:tc>
        <w:tc>
          <w:tcPr>
            <w:tcW w:w="2636" w:type="dxa"/>
            <w:tcBorders>
              <w:tl2br w:val="nil"/>
              <w:tr2bl w:val="nil"/>
            </w:tcBorders>
            <w:shd w:val="clear" w:color="auto" w:fill="auto"/>
            <w:vAlign w:val="center"/>
          </w:tcPr>
          <w:p w14:paraId="5B8B6D8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用于根管治疗中拔除牙髓神经</w:t>
            </w:r>
          </w:p>
        </w:tc>
        <w:tc>
          <w:tcPr>
            <w:tcW w:w="1227" w:type="dxa"/>
            <w:tcBorders>
              <w:tl2br w:val="nil"/>
              <w:tr2bl w:val="nil"/>
            </w:tcBorders>
            <w:shd w:val="clear" w:color="auto" w:fill="auto"/>
            <w:vAlign w:val="center"/>
          </w:tcPr>
          <w:p w14:paraId="13EAB0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46F0D1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3D36D0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985" w:type="dxa"/>
            <w:tcBorders>
              <w:tl2br w:val="nil"/>
              <w:tr2bl w:val="nil"/>
            </w:tcBorders>
            <w:shd w:val="clear" w:color="auto" w:fill="auto"/>
            <w:vAlign w:val="center"/>
          </w:tcPr>
          <w:p w14:paraId="470CC1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1584</w:t>
            </w:r>
          </w:p>
        </w:tc>
        <w:tc>
          <w:tcPr>
            <w:tcW w:w="1268" w:type="dxa"/>
            <w:tcBorders>
              <w:tl2br w:val="nil"/>
              <w:tr2bl w:val="nil"/>
            </w:tcBorders>
            <w:shd w:val="clear" w:color="auto" w:fill="auto"/>
            <w:vAlign w:val="center"/>
          </w:tcPr>
          <w:p w14:paraId="473067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6336</w:t>
            </w:r>
          </w:p>
        </w:tc>
        <w:tc>
          <w:tcPr>
            <w:tcW w:w="1000" w:type="dxa"/>
            <w:tcBorders>
              <w:tl2br w:val="nil"/>
              <w:tr2bl w:val="nil"/>
            </w:tcBorders>
            <w:shd w:val="clear" w:color="auto" w:fill="auto"/>
            <w:vAlign w:val="center"/>
          </w:tcPr>
          <w:p w14:paraId="5093B2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bl>
    <w:p w14:paraId="1F853677">
      <w:pPr>
        <w:pStyle w:val="10"/>
        <w:tabs>
          <w:tab w:val="left" w:pos="420"/>
          <w:tab w:val="left" w:pos="540"/>
        </w:tabs>
        <w:adjustRightInd w:val="0"/>
        <w:snapToGrid w:val="0"/>
        <w:spacing w:line="360" w:lineRule="auto"/>
        <w:rPr>
          <w:rFonts w:hAnsi="宋体"/>
          <w:b/>
          <w:color w:val="auto"/>
        </w:rPr>
      </w:pPr>
      <w:r>
        <w:rPr>
          <w:rFonts w:hint="eastAsia" w:hAnsi="宋体"/>
          <w:b/>
          <w:color w:val="auto"/>
          <w:lang w:val="en-US" w:eastAsia="zh-CN"/>
        </w:rPr>
        <w:t>注：投标单位必须满足货品清单及</w:t>
      </w:r>
      <w:r>
        <w:rPr>
          <w:rFonts w:hint="eastAsia" w:hAnsi="宋体"/>
          <w:b/>
          <w:color w:val="auto"/>
        </w:rPr>
        <w:t>技术要求</w:t>
      </w:r>
      <w:r>
        <w:rPr>
          <w:rFonts w:hint="eastAsia" w:hAnsi="宋体"/>
          <w:b/>
          <w:color w:val="auto"/>
          <w:lang w:eastAsia="zh-CN"/>
        </w:rPr>
        <w:t>，</w:t>
      </w:r>
      <w:r>
        <w:rPr>
          <w:rFonts w:hint="eastAsia" w:hAnsi="宋体"/>
          <w:b/>
          <w:color w:val="auto"/>
          <w:lang w:val="en-US" w:eastAsia="zh-CN"/>
        </w:rPr>
        <w:t>否则为无效投标。</w:t>
      </w:r>
    </w:p>
    <w:p w14:paraId="7C2FC4C4">
      <w:pPr>
        <w:pStyle w:val="10"/>
        <w:numPr>
          <w:ilvl w:val="0"/>
          <w:numId w:val="8"/>
        </w:numPr>
        <w:tabs>
          <w:tab w:val="left" w:pos="540"/>
        </w:tabs>
        <w:adjustRightInd w:val="0"/>
        <w:snapToGrid w:val="0"/>
        <w:spacing w:line="360" w:lineRule="auto"/>
        <w:ind w:left="420" w:leftChars="0" w:hanging="420" w:firstLineChars="0"/>
        <w:outlineLvl w:val="9"/>
        <w:rPr>
          <w:rFonts w:hAnsi="宋体"/>
          <w:b/>
          <w:color w:val="auto"/>
        </w:rPr>
      </w:pPr>
      <w:r>
        <w:rPr>
          <w:rFonts w:hint="eastAsia" w:hAnsi="宋体"/>
          <w:b/>
          <w:color w:val="auto"/>
        </w:rPr>
        <w:t>商务要求：</w:t>
      </w:r>
    </w:p>
    <w:p w14:paraId="6E48CCF4">
      <w:pPr>
        <w:keepNext w:val="0"/>
        <w:keepLines w:val="0"/>
        <w:pageBreakBefore w:val="0"/>
        <w:widowControl w:val="0"/>
        <w:numPr>
          <w:ilvl w:val="0"/>
          <w:numId w:val="9"/>
        </w:numPr>
        <w:tabs>
          <w:tab w:val="left" w:pos="0"/>
          <w:tab w:val="left" w:pos="220"/>
          <w:tab w:val="clear" w:pos="312"/>
        </w:tabs>
        <w:kinsoku/>
        <w:wordWrap w:val="0"/>
        <w:overflowPunct/>
        <w:topLinePunct w:val="0"/>
        <w:autoSpaceDE/>
        <w:autoSpaceDN/>
        <w:bidi w:val="0"/>
        <w:adjustRightInd w:val="0"/>
        <w:snapToGrid w:val="0"/>
        <w:spacing w:line="240" w:lineRule="auto"/>
        <w:jc w:val="left"/>
        <w:textAlignment w:val="auto"/>
        <w:rPr>
          <w:rFonts w:hint="eastAsia"/>
          <w:highlight w:val="none"/>
          <w:lang w:val="en-US" w:eastAsia="zh-CN"/>
        </w:rPr>
      </w:pPr>
      <w:r>
        <w:rPr>
          <w:rFonts w:hint="eastAsia" w:ascii="宋体" w:hAnsi="宋体" w:eastAsia="宋体" w:cs="宋体"/>
          <w:b/>
          <w:bCs/>
          <w:color w:val="auto"/>
          <w:sz w:val="21"/>
          <w:szCs w:val="21"/>
          <w:highlight w:val="none"/>
          <w:lang w:val="en-US" w:eastAsia="zh-CN"/>
        </w:rPr>
        <w:t>合同履行</w:t>
      </w:r>
      <w:r>
        <w:rPr>
          <w:rFonts w:hint="eastAsia" w:ascii="宋体" w:hAnsi="宋体" w:eastAsia="宋体" w:cs="宋体"/>
          <w:b/>
          <w:bCs/>
          <w:color w:val="auto"/>
          <w:sz w:val="21"/>
          <w:szCs w:val="21"/>
          <w:highlight w:val="none"/>
          <w:lang w:val="zh-CN"/>
        </w:rPr>
        <w:t>期限：</w:t>
      </w:r>
      <w:r>
        <w:rPr>
          <w:rFonts w:hint="eastAsia"/>
          <w:highlight w:val="none"/>
          <w:lang w:val="en-US" w:eastAsia="zh-CN"/>
        </w:rPr>
        <w:t>24个月。</w:t>
      </w:r>
    </w:p>
    <w:p w14:paraId="4E72E39F">
      <w:pPr>
        <w:keepNext w:val="0"/>
        <w:keepLines w:val="0"/>
        <w:pageBreakBefore w:val="0"/>
        <w:widowControl w:val="0"/>
        <w:numPr>
          <w:ilvl w:val="0"/>
          <w:numId w:val="9"/>
        </w:numPr>
        <w:tabs>
          <w:tab w:val="left" w:pos="0"/>
          <w:tab w:val="left" w:pos="220"/>
          <w:tab w:val="clear" w:pos="312"/>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bCs/>
          <w:color w:val="auto"/>
          <w:sz w:val="21"/>
          <w:szCs w:val="21"/>
          <w:highlight w:val="none"/>
          <w:lang w:val="en-US" w:eastAsia="zh-CN"/>
        </w:rPr>
        <w:t>交货时间</w:t>
      </w:r>
      <w:r>
        <w:rPr>
          <w:rFonts w:hint="eastAsia" w:ascii="宋体" w:hAnsi="宋体" w:eastAsia="宋体" w:cs="宋体"/>
          <w:b/>
          <w:bCs/>
          <w:color w:val="auto"/>
          <w:sz w:val="21"/>
          <w:szCs w:val="21"/>
          <w:highlight w:val="none"/>
          <w:lang w:val="zh-CN"/>
        </w:rPr>
        <w:t>：</w:t>
      </w:r>
      <w:r>
        <w:rPr>
          <w:rFonts w:hint="eastAsia" w:ascii="宋体" w:hAnsi="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lang w:val="en-US" w:eastAsia="zh-CN"/>
        </w:rPr>
        <w:t>收到采购人的需求清单后</w:t>
      </w:r>
      <w:r>
        <w:rPr>
          <w:rFonts w:hint="eastAsia" w:ascii="宋体" w:hAnsi="宋体" w:eastAsia="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lang w:val="zh-CN"/>
        </w:rPr>
        <w:t>天内交货。</w:t>
      </w:r>
    </w:p>
    <w:p w14:paraId="34696E9B">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zh-CN"/>
        </w:rPr>
        <w:t>报价方式：</w:t>
      </w:r>
    </w:p>
    <w:p w14:paraId="1AE3C9D1">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报价使用货币及单位：人民币（元），报价精确到元。</w:t>
      </w:r>
    </w:p>
    <w:p w14:paraId="7FFFEC8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投标人所报价格为含税、配送商费用等的全包价。</w:t>
      </w:r>
    </w:p>
    <w:p w14:paraId="12EF6EC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投标人的投标报价不得高于深圳市最低成交价。</w:t>
      </w:r>
    </w:p>
    <w:p w14:paraId="69A9D4A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4投标人</w:t>
      </w:r>
      <w:r>
        <w:rPr>
          <w:rFonts w:hint="eastAsia" w:ascii="宋体" w:hAnsi="宋体" w:eastAsia="宋体" w:cs="宋体"/>
          <w:color w:val="auto"/>
          <w:sz w:val="21"/>
          <w:szCs w:val="21"/>
          <w:highlight w:val="none"/>
          <w:lang w:val="zh-CN"/>
        </w:rPr>
        <w:t>不得以低于自身成本的报价投标：当评标委员会认为其报价低于成本价时，评标委员会有权要求其对成本构成进行介绍，并要求投标方用书面的形式进行低价说明（在保证质量的前提下，能够大副节省经费的手段或原因）；如投标人没有合理的理由或不按要求提供低价说明，可视为不被接受的有风险的报价。</w:t>
      </w:r>
    </w:p>
    <w:p w14:paraId="0239CD57">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zh-CN"/>
        </w:rPr>
        <w:t>付款方式：</w:t>
      </w:r>
    </w:p>
    <w:p w14:paraId="7B3BE365">
      <w:pPr>
        <w:keepNext w:val="0"/>
        <w:keepLines w:val="0"/>
        <w:pageBreakBefore w:val="0"/>
        <w:widowControl w:val="0"/>
        <w:tabs>
          <w:tab w:val="left" w:pos="0"/>
          <w:tab w:val="left" w:pos="420"/>
        </w:tabs>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highlight w:val="none"/>
          <w:lang w:val="en-US" w:eastAsia="zh-CN"/>
        </w:rPr>
        <w:t>是</w:t>
      </w:r>
      <w:r>
        <w:rPr>
          <w:rFonts w:hint="eastAsia" w:ascii="宋体" w:hAnsi="宋体" w:eastAsia="宋体" w:cs="宋体"/>
          <w:color w:val="auto"/>
          <w:sz w:val="21"/>
          <w:szCs w:val="21"/>
          <w:highlight w:val="none"/>
          <w:lang w:val="zh-CN"/>
        </w:rPr>
        <w:t>按月</w:t>
      </w:r>
      <w:r>
        <w:rPr>
          <w:rFonts w:hint="eastAsia" w:ascii="宋体" w:hAnsi="宋体" w:eastAsia="宋体" w:cs="宋体"/>
          <w:color w:val="auto"/>
          <w:sz w:val="21"/>
          <w:szCs w:val="21"/>
          <w:highlight w:val="none"/>
          <w:lang w:val="en-US" w:eastAsia="zh-CN"/>
        </w:rPr>
        <w:t>据实</w:t>
      </w:r>
      <w:r>
        <w:rPr>
          <w:rFonts w:hint="eastAsia" w:ascii="宋体" w:hAnsi="宋体" w:eastAsia="宋体" w:cs="宋体"/>
          <w:color w:val="auto"/>
          <w:sz w:val="21"/>
          <w:szCs w:val="21"/>
          <w:highlight w:val="none"/>
          <w:lang w:val="zh-CN"/>
        </w:rPr>
        <w:t>结算，</w:t>
      </w:r>
      <w:r>
        <w:rPr>
          <w:rFonts w:hint="eastAsia" w:ascii="宋体" w:hAnsi="宋体" w:eastAsia="宋体" w:cs="宋体"/>
          <w:color w:val="auto"/>
          <w:sz w:val="21"/>
          <w:szCs w:val="21"/>
          <w:highlight w:val="none"/>
          <w:lang w:val="en-US" w:eastAsia="zh-CN"/>
        </w:rPr>
        <w:t>投标人在中标后，每月根据采购人</w:t>
      </w:r>
      <w:r>
        <w:rPr>
          <w:rFonts w:hint="eastAsia" w:ascii="宋体" w:hAnsi="宋体" w:cs="宋体"/>
          <w:color w:val="auto"/>
          <w:sz w:val="21"/>
          <w:szCs w:val="21"/>
          <w:highlight w:val="none"/>
          <w:lang w:val="en-US" w:eastAsia="zh-CN"/>
        </w:rPr>
        <w:t>的采购</w:t>
      </w:r>
      <w:r>
        <w:rPr>
          <w:rFonts w:hint="eastAsia" w:ascii="宋体" w:hAnsi="宋体" w:eastAsia="宋体" w:cs="宋体"/>
          <w:color w:val="auto"/>
          <w:sz w:val="21"/>
          <w:szCs w:val="21"/>
          <w:highlight w:val="none"/>
          <w:lang w:val="en-US" w:eastAsia="zh-CN"/>
        </w:rPr>
        <w:t>订货单、货物验收签到表以及开具购买</w:t>
      </w:r>
      <w:r>
        <w:rPr>
          <w:rFonts w:hint="eastAsia" w:ascii="宋体" w:hAnsi="宋体" w:cs="宋体"/>
          <w:color w:val="auto"/>
          <w:sz w:val="21"/>
          <w:szCs w:val="21"/>
          <w:highlight w:val="none"/>
          <w:lang w:val="en-US" w:eastAsia="zh-CN"/>
        </w:rPr>
        <w:t>对应</w:t>
      </w:r>
      <w:r>
        <w:rPr>
          <w:rFonts w:hint="eastAsia" w:ascii="宋体" w:hAnsi="宋体" w:eastAsia="宋体" w:cs="宋体"/>
          <w:color w:val="auto"/>
          <w:sz w:val="21"/>
          <w:szCs w:val="21"/>
          <w:highlight w:val="none"/>
          <w:lang w:val="en-US" w:eastAsia="zh-CN"/>
        </w:rPr>
        <w:t>耗材的发票金额</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向采购人申请支付费用</w:t>
      </w:r>
      <w:r>
        <w:rPr>
          <w:rFonts w:hint="eastAsia" w:ascii="宋体" w:hAnsi="宋体" w:cs="宋体"/>
          <w:color w:val="auto"/>
          <w:sz w:val="21"/>
          <w:szCs w:val="21"/>
          <w:highlight w:val="none"/>
          <w:lang w:val="en-US" w:eastAsia="zh-CN"/>
        </w:rPr>
        <w:t>结算</w:t>
      </w:r>
      <w:r>
        <w:rPr>
          <w:rFonts w:hint="eastAsia" w:ascii="宋体" w:hAnsi="宋体" w:eastAsia="宋体" w:cs="宋体"/>
          <w:color w:val="auto"/>
          <w:sz w:val="21"/>
          <w:szCs w:val="21"/>
          <w:highlight w:val="none"/>
          <w:lang w:val="en-US" w:eastAsia="zh-CN"/>
        </w:rPr>
        <w:t>。</w:t>
      </w:r>
    </w:p>
    <w:p w14:paraId="1D12A3D2">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zh-CN"/>
        </w:rPr>
        <w:t>质量保证</w:t>
      </w:r>
      <w:r>
        <w:rPr>
          <w:rFonts w:hint="eastAsia" w:ascii="宋体" w:hAnsi="宋体" w:eastAsia="宋体" w:cs="宋体"/>
          <w:b/>
          <w:bCs/>
          <w:color w:val="auto"/>
          <w:sz w:val="21"/>
          <w:szCs w:val="21"/>
          <w:highlight w:val="none"/>
          <w:lang w:val="en-US" w:eastAsia="zh-CN"/>
        </w:rPr>
        <w:t>：</w:t>
      </w:r>
    </w:p>
    <w:p w14:paraId="079899C3">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5.</w:t>
      </w:r>
      <w:r>
        <w:rPr>
          <w:rFonts w:hint="default" w:ascii="宋体" w:hAnsi="宋体" w:eastAsia="宋体" w:cs="宋体"/>
          <w:color w:val="auto"/>
          <w:sz w:val="21"/>
          <w:szCs w:val="21"/>
          <w:highlight w:val="none"/>
          <w:lang w:val="zh-CN" w:eastAsia="zh-CN"/>
        </w:rPr>
        <w:t>1</w:t>
      </w:r>
      <w:r>
        <w:rPr>
          <w:rFonts w:hint="eastAsia" w:ascii="宋体" w:hAnsi="宋体" w:eastAsia="宋体" w:cs="宋体"/>
          <w:color w:val="auto"/>
          <w:sz w:val="21"/>
          <w:szCs w:val="21"/>
          <w:highlight w:val="none"/>
          <w:lang w:val="zh-CN"/>
        </w:rPr>
        <w:t>中标人需按国家相关标准进行耗材包装，耗材的包装均</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lang w:val="zh-CN"/>
        </w:rPr>
        <w:t>有良好的防湿、防锈、防潮、防雨、防腐及防碰撞的措施，并适宜深圳的气候条件。凡由于包装不良造成的损失和由此产生的费用均由</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lang w:val="zh-CN"/>
        </w:rPr>
        <w:t>标人承担。</w:t>
      </w:r>
    </w:p>
    <w:p w14:paraId="663681FE">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5.2</w:t>
      </w:r>
      <w:r>
        <w:rPr>
          <w:rFonts w:hint="eastAsia" w:ascii="宋体" w:hAnsi="宋体" w:eastAsia="宋体" w:cs="宋体"/>
          <w:color w:val="auto"/>
          <w:sz w:val="21"/>
          <w:szCs w:val="21"/>
          <w:highlight w:val="none"/>
          <w:lang w:val="zh-CN"/>
        </w:rPr>
        <w:t>中标人应提供完整的技术资料，包括但不限于产品说明书、质量保证文件、服务指南等，所有外文资料</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lang w:val="zh-CN"/>
        </w:rPr>
        <w:t>提供中文译本。文件应随货物一并交付至采购人指定地点。</w:t>
      </w:r>
    </w:p>
    <w:p w14:paraId="7625E7FE">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kern w:val="2"/>
          <w:sz w:val="21"/>
          <w:szCs w:val="21"/>
          <w:highlight w:val="none"/>
          <w:lang w:val="en-US" w:eastAsia="zh-CN" w:bidi="ar-SA"/>
        </w:rPr>
        <w:t>5.3</w:t>
      </w:r>
      <w:r>
        <w:rPr>
          <w:rFonts w:hint="eastAsia" w:ascii="宋体" w:hAnsi="宋体" w:eastAsia="宋体" w:cs="宋体"/>
          <w:color w:val="auto"/>
          <w:szCs w:val="21"/>
          <w:highlight w:val="none"/>
          <w:lang w:val="en-US" w:eastAsia="zh-CN"/>
        </w:rPr>
        <w:t>在临床使用中出现不良事件，</w:t>
      </w:r>
      <w:r>
        <w:rPr>
          <w:rFonts w:hint="eastAsia" w:ascii="宋体" w:hAnsi="宋体" w:cs="宋体"/>
          <w:color w:val="auto"/>
          <w:szCs w:val="21"/>
          <w:highlight w:val="none"/>
          <w:lang w:val="en-US" w:eastAsia="zh-CN"/>
        </w:rPr>
        <w:t>要求</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接到通知后半小时内响应，两小时内赶到现场。经国家相关质量监察部门鉴定后，确实属于产品质量问题的，</w:t>
      </w:r>
      <w:r>
        <w:rPr>
          <w:rFonts w:hint="eastAsia" w:ascii="宋体" w:hAnsi="宋体" w:cs="宋体"/>
          <w:color w:val="auto"/>
          <w:szCs w:val="21"/>
          <w:highlight w:val="none"/>
          <w:lang w:val="en-US" w:eastAsia="zh-CN"/>
        </w:rPr>
        <w:t>由</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承担全部责任。</w:t>
      </w:r>
    </w:p>
    <w:p w14:paraId="0EFCD6D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20" w:firstLineChars="200"/>
        <w:textAlignment w:val="auto"/>
        <w:rPr>
          <w:rFonts w:hint="eastAsia" w:cs="宋体" w:asciiTheme="minorEastAsia" w:hAnsiTheme="minorEastAsia"/>
          <w:color w:val="auto"/>
          <w:kern w:val="0"/>
          <w:highlight w:val="none"/>
          <w:lang w:val="en-US" w:eastAsia="zh-CN"/>
        </w:rPr>
      </w:pPr>
      <w:r>
        <w:rPr>
          <w:rFonts w:hint="eastAsia" w:hAnsi="宋体" w:cs="宋体"/>
          <w:color w:val="auto"/>
          <w:szCs w:val="21"/>
          <w:highlight w:val="none"/>
          <w:lang w:val="en-US" w:eastAsia="zh-CN"/>
        </w:rPr>
        <w:t>5.</w:t>
      </w:r>
      <w:r>
        <w:rPr>
          <w:rFonts w:hint="eastAsia" w:ascii="宋体" w:hAnsi="宋体" w:cs="宋体"/>
          <w:color w:val="auto"/>
          <w:szCs w:val="21"/>
          <w:highlight w:val="none"/>
          <w:lang w:val="en-US" w:eastAsia="zh-CN"/>
        </w:rPr>
        <w:t>4</w:t>
      </w:r>
      <w:r>
        <w:rPr>
          <w:rFonts w:hint="eastAsia" w:cs="宋体" w:asciiTheme="minorEastAsia" w:hAnsiTheme="minorEastAsia"/>
          <w:color w:val="auto"/>
          <w:kern w:val="0"/>
          <w:highlight w:val="none"/>
          <w:lang w:val="en-US" w:eastAsia="zh-CN"/>
        </w:rPr>
        <w:t>货物有效期不低于</w:t>
      </w:r>
      <w:r>
        <w:rPr>
          <w:rFonts w:hint="eastAsia" w:cs="宋体" w:asciiTheme="minorEastAsia" w:hAnsiTheme="minorEastAsia"/>
          <w:b/>
          <w:bCs/>
          <w:color w:val="FF0000"/>
          <w:kern w:val="0"/>
          <w:highlight w:val="none"/>
          <w:u w:val="single"/>
          <w:lang w:val="en-US" w:eastAsia="zh-CN"/>
        </w:rPr>
        <w:t>产品有效期的三分之二</w:t>
      </w:r>
      <w:r>
        <w:rPr>
          <w:rFonts w:hint="eastAsia" w:cs="宋体" w:asciiTheme="minorEastAsia" w:hAnsiTheme="minorEastAsia"/>
          <w:color w:val="auto"/>
          <w:kern w:val="0"/>
          <w:highlight w:val="none"/>
          <w:lang w:val="en-US" w:eastAsia="zh-CN"/>
        </w:rPr>
        <w:t>，有效期内有任何产品质量问题，中标人需免费进行更换。</w:t>
      </w:r>
    </w:p>
    <w:p w14:paraId="66DC0D09">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zh-CN"/>
        </w:rPr>
        <w:t>售后服务要求</w:t>
      </w:r>
      <w:r>
        <w:rPr>
          <w:rFonts w:hint="eastAsia" w:ascii="宋体" w:hAnsi="宋体" w:cs="宋体"/>
          <w:b/>
          <w:bCs/>
          <w:color w:val="auto"/>
          <w:sz w:val="21"/>
          <w:szCs w:val="21"/>
          <w:highlight w:val="none"/>
          <w:lang w:val="zh-CN"/>
        </w:rPr>
        <w:t>：</w:t>
      </w:r>
    </w:p>
    <w:p w14:paraId="5F3755D0">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6.1</w:t>
      </w:r>
      <w:r>
        <w:rPr>
          <w:rFonts w:hint="eastAsia" w:ascii="宋体" w:hAnsi="宋体" w:eastAsia="宋体" w:cs="宋体"/>
          <w:color w:val="auto"/>
          <w:sz w:val="21"/>
          <w:szCs w:val="21"/>
          <w:highlight w:val="none"/>
          <w:lang w:val="zh-CN"/>
        </w:rPr>
        <w:t>耗材出现问题时，</w:t>
      </w:r>
      <w:r>
        <w:rPr>
          <w:rFonts w:hint="eastAsia" w:ascii="宋体" w:hAnsi="宋体" w:cs="宋体"/>
          <w:color w:val="auto"/>
          <w:szCs w:val="21"/>
          <w:highlight w:val="none"/>
          <w:lang w:val="en-US" w:eastAsia="zh-CN"/>
        </w:rPr>
        <w:t>要求中标人能在半</w:t>
      </w:r>
      <w:r>
        <w:rPr>
          <w:rFonts w:hint="eastAsia" w:ascii="宋体" w:hAnsi="宋体" w:eastAsia="宋体" w:cs="宋体"/>
          <w:color w:val="auto"/>
          <w:szCs w:val="21"/>
          <w:highlight w:val="none"/>
          <w:lang w:val="en-US" w:eastAsia="zh-CN"/>
        </w:rPr>
        <w:t>小时内响应，两小时内赶到现场</w:t>
      </w:r>
      <w:r>
        <w:rPr>
          <w:rFonts w:hint="eastAsia" w:ascii="宋体" w:hAnsi="宋体" w:eastAsia="宋体" w:cs="宋体"/>
          <w:color w:val="auto"/>
          <w:sz w:val="21"/>
          <w:szCs w:val="21"/>
          <w:highlight w:val="none"/>
          <w:lang w:val="zh-CN"/>
        </w:rPr>
        <w:t>。</w:t>
      </w:r>
    </w:p>
    <w:p w14:paraId="4EE5287A">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6.</w:t>
      </w:r>
      <w:r>
        <w:rPr>
          <w:rFonts w:hint="default" w:ascii="宋体" w:hAnsi="宋体" w:eastAsia="宋体" w:cs="宋体"/>
          <w:color w:val="auto"/>
          <w:kern w:val="2"/>
          <w:sz w:val="21"/>
          <w:szCs w:val="21"/>
          <w:highlight w:val="none"/>
          <w:lang w:val="zh-CN" w:eastAsia="zh-CN" w:bidi="ar-SA"/>
        </w:rPr>
        <w:t>2</w:t>
      </w:r>
      <w:r>
        <w:rPr>
          <w:rFonts w:hint="eastAsia" w:ascii="宋体" w:hAnsi="宋体" w:eastAsia="宋体" w:cs="宋体"/>
          <w:color w:val="auto"/>
          <w:szCs w:val="21"/>
          <w:highlight w:val="none"/>
          <w:lang w:val="en-US" w:eastAsia="zh-CN"/>
        </w:rPr>
        <w:t>自</w:t>
      </w:r>
      <w:r>
        <w:rPr>
          <w:rFonts w:hint="eastAsia" w:ascii="宋体" w:hAnsi="宋体" w:cs="宋体"/>
          <w:color w:val="auto"/>
          <w:szCs w:val="21"/>
          <w:highlight w:val="none"/>
          <w:lang w:val="en-US" w:eastAsia="zh-CN"/>
        </w:rPr>
        <w:t>采购人订单发出</w:t>
      </w:r>
      <w:r>
        <w:rPr>
          <w:rFonts w:hint="eastAsia" w:ascii="宋体" w:hAnsi="宋体" w:eastAsia="宋体" w:cs="宋体"/>
          <w:color w:val="auto"/>
          <w:szCs w:val="21"/>
          <w:highlight w:val="none"/>
          <w:lang w:val="en-US" w:eastAsia="zh-CN"/>
        </w:rPr>
        <w:t>之</w:t>
      </w:r>
      <w:r>
        <w:rPr>
          <w:rFonts w:hint="eastAsia" w:ascii="宋体" w:hAnsi="宋体" w:cs="宋体"/>
          <w:color w:val="auto"/>
          <w:szCs w:val="21"/>
          <w:highlight w:val="none"/>
          <w:lang w:val="en-US" w:eastAsia="zh-CN"/>
        </w:rPr>
        <w:t>时</w:t>
      </w:r>
      <w:r>
        <w:rPr>
          <w:rFonts w:hint="eastAsia" w:ascii="宋体" w:hAnsi="宋体" w:eastAsia="宋体" w:cs="宋体"/>
          <w:color w:val="auto"/>
          <w:szCs w:val="21"/>
          <w:highlight w:val="none"/>
          <w:lang w:val="en-US" w:eastAsia="zh-CN"/>
        </w:rPr>
        <w:t>起</w:t>
      </w:r>
      <w:r>
        <w:rPr>
          <w:rFonts w:hint="eastAsia" w:ascii="宋体" w:hAnsi="宋体" w:cs="宋体"/>
          <w:color w:val="auto"/>
          <w:szCs w:val="21"/>
          <w:highlight w:val="none"/>
          <w:lang w:val="en-US" w:eastAsia="zh-CN"/>
        </w:rPr>
        <w:t>要求</w:t>
      </w:r>
      <w:r>
        <w:rPr>
          <w:rFonts w:hint="eastAsia" w:ascii="宋体" w:hAnsi="宋体" w:eastAsia="宋体" w:cs="宋体"/>
          <w:color w:val="auto"/>
          <w:sz w:val="21"/>
          <w:szCs w:val="21"/>
          <w:highlight w:val="none"/>
          <w:lang w:val="zh-CN"/>
        </w:rPr>
        <w:t>中标人</w:t>
      </w:r>
      <w:r>
        <w:rPr>
          <w:rFonts w:hint="eastAsia" w:ascii="宋体" w:hAnsi="宋体" w:cs="宋体"/>
          <w:color w:val="auto"/>
          <w:sz w:val="21"/>
          <w:szCs w:val="21"/>
          <w:highlight w:val="none"/>
          <w:lang w:val="en-US" w:eastAsia="zh-CN"/>
        </w:rPr>
        <w:t>耗材</w:t>
      </w:r>
      <w:r>
        <w:rPr>
          <w:rFonts w:hint="eastAsia" w:ascii="宋体" w:hAnsi="宋体" w:eastAsia="宋体" w:cs="宋体"/>
          <w:color w:val="auto"/>
          <w:szCs w:val="21"/>
          <w:highlight w:val="none"/>
          <w:lang w:val="en-US" w:eastAsia="zh-CN"/>
        </w:rPr>
        <w:t>配送</w:t>
      </w:r>
      <w:r>
        <w:rPr>
          <w:rFonts w:hint="eastAsia" w:ascii="宋体" w:hAnsi="宋体" w:cs="宋体"/>
          <w:color w:val="auto"/>
          <w:szCs w:val="21"/>
          <w:highlight w:val="none"/>
          <w:lang w:val="en-US" w:eastAsia="zh-CN"/>
        </w:rPr>
        <w:t>时限一般</w:t>
      </w:r>
      <w:r>
        <w:rPr>
          <w:rFonts w:hint="eastAsia" w:ascii="宋体" w:hAnsi="宋体" w:eastAsia="宋体" w:cs="宋体"/>
          <w:color w:val="auto"/>
          <w:szCs w:val="21"/>
          <w:highlight w:val="none"/>
          <w:lang w:val="en-US" w:eastAsia="zh-CN"/>
        </w:rPr>
        <w:t>不超过</w:t>
      </w:r>
      <w:r>
        <w:rPr>
          <w:rFonts w:hint="eastAsia" w:ascii="宋体" w:hAnsi="宋体" w:cs="宋体"/>
          <w:color w:val="auto"/>
          <w:szCs w:val="21"/>
          <w:highlight w:val="none"/>
          <w:lang w:val="en-US" w:eastAsia="zh-CN"/>
        </w:rPr>
        <w:t>48</w:t>
      </w:r>
      <w:r>
        <w:rPr>
          <w:rFonts w:hint="eastAsia" w:ascii="宋体" w:hAnsi="宋体" w:eastAsia="宋体" w:cs="宋体"/>
          <w:color w:val="auto"/>
          <w:szCs w:val="21"/>
          <w:highlight w:val="none"/>
          <w:lang w:val="en-US" w:eastAsia="zh-CN"/>
        </w:rPr>
        <w:t>小时。</w:t>
      </w:r>
      <w:r>
        <w:rPr>
          <w:rFonts w:hint="eastAsia" w:ascii="宋体" w:hAnsi="宋体" w:cs="宋体"/>
          <w:color w:val="auto"/>
          <w:szCs w:val="21"/>
          <w:highlight w:val="none"/>
          <w:lang w:val="en-US" w:eastAsia="zh-CN"/>
        </w:rPr>
        <w:t>若采购人要求</w:t>
      </w:r>
      <w:r>
        <w:rPr>
          <w:rFonts w:hint="eastAsia" w:ascii="宋体" w:hAnsi="宋体" w:eastAsia="宋体" w:cs="宋体"/>
          <w:color w:val="auto"/>
          <w:szCs w:val="21"/>
          <w:highlight w:val="none"/>
          <w:lang w:val="en-US" w:eastAsia="zh-CN"/>
        </w:rPr>
        <w:t>紧急配送，</w:t>
      </w:r>
      <w:r>
        <w:rPr>
          <w:rFonts w:hint="eastAsia" w:ascii="宋体" w:hAnsi="宋体" w:eastAsia="宋体" w:cs="宋体"/>
          <w:color w:val="auto"/>
          <w:sz w:val="21"/>
          <w:szCs w:val="21"/>
          <w:highlight w:val="none"/>
          <w:lang w:val="zh-CN"/>
        </w:rPr>
        <w:t>中标人</w:t>
      </w:r>
      <w:r>
        <w:rPr>
          <w:rFonts w:hint="eastAsia" w:ascii="宋体" w:hAnsi="宋体" w:cs="宋体"/>
          <w:color w:val="auto"/>
          <w:sz w:val="21"/>
          <w:szCs w:val="21"/>
          <w:highlight w:val="none"/>
          <w:lang w:val="en-US" w:eastAsia="zh-CN"/>
        </w:rPr>
        <w:t>需</w:t>
      </w:r>
      <w:r>
        <w:rPr>
          <w:rFonts w:hint="eastAsia" w:ascii="宋体" w:hAnsi="宋体" w:eastAsia="宋体" w:cs="宋体"/>
          <w:color w:val="auto"/>
          <w:szCs w:val="21"/>
          <w:highlight w:val="none"/>
          <w:lang w:val="en-US" w:eastAsia="zh-CN"/>
        </w:rPr>
        <w:t>保证所有</w:t>
      </w:r>
      <w:r>
        <w:rPr>
          <w:rFonts w:hint="eastAsia" w:ascii="宋体" w:hAnsi="宋体" w:cs="宋体"/>
          <w:color w:val="auto"/>
          <w:szCs w:val="21"/>
          <w:highlight w:val="none"/>
          <w:lang w:val="en-US" w:eastAsia="zh-CN"/>
        </w:rPr>
        <w:t>耗材</w:t>
      </w:r>
      <w:r>
        <w:rPr>
          <w:rFonts w:hint="eastAsia" w:ascii="宋体" w:hAnsi="宋体" w:eastAsia="宋体" w:cs="宋体"/>
          <w:color w:val="auto"/>
          <w:szCs w:val="21"/>
          <w:highlight w:val="none"/>
          <w:lang w:val="en-US" w:eastAsia="zh-CN"/>
        </w:rPr>
        <w:t>在</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小时内送达。</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订单发出</w:t>
      </w:r>
      <w:r>
        <w:rPr>
          <w:rFonts w:hint="eastAsia" w:ascii="宋体" w:hAnsi="宋体" w:cs="宋体"/>
          <w:color w:val="auto"/>
          <w:szCs w:val="21"/>
          <w:highlight w:val="none"/>
          <w:lang w:val="en-US" w:eastAsia="zh-CN"/>
        </w:rPr>
        <w:t>时间包含</w:t>
      </w:r>
      <w:r>
        <w:rPr>
          <w:rFonts w:hint="eastAsia" w:ascii="宋体" w:hAnsi="宋体" w:eastAsia="宋体" w:cs="宋体"/>
          <w:color w:val="auto"/>
          <w:szCs w:val="21"/>
          <w:highlight w:val="none"/>
          <w:lang w:val="en-US" w:eastAsia="zh-CN"/>
        </w:rPr>
        <w:t>节假日</w:t>
      </w:r>
      <w:r>
        <w:rPr>
          <w:rFonts w:hint="eastAsia" w:ascii="宋体" w:hAnsi="宋体" w:cs="宋体"/>
          <w:color w:val="auto"/>
          <w:szCs w:val="21"/>
          <w:highlight w:val="none"/>
          <w:lang w:val="en-US" w:eastAsia="zh-CN"/>
        </w:rPr>
        <w:t>，</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应留置值班人员以满足</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订货需求。</w:t>
      </w:r>
    </w:p>
    <w:p w14:paraId="6FAB44AB">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6.3投标人</w:t>
      </w:r>
      <w:r>
        <w:rPr>
          <w:rFonts w:hint="eastAsia" w:ascii="宋体" w:hAnsi="宋体" w:eastAsia="宋体" w:cs="宋体"/>
          <w:color w:val="auto"/>
          <w:sz w:val="21"/>
          <w:szCs w:val="21"/>
          <w:highlight w:val="none"/>
          <w:lang w:val="zh-CN"/>
        </w:rPr>
        <w:t>应按其投标文件中的承诺，进行其他售后服务工作。</w:t>
      </w:r>
    </w:p>
    <w:p w14:paraId="641A96C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zh-CN"/>
        </w:rPr>
        <w:t>验收及相关技术文件、资料</w:t>
      </w:r>
      <w:r>
        <w:rPr>
          <w:rFonts w:hint="eastAsia" w:ascii="宋体" w:hAnsi="宋体" w:cs="宋体"/>
          <w:b/>
          <w:bCs/>
          <w:color w:val="auto"/>
          <w:sz w:val="21"/>
          <w:szCs w:val="21"/>
          <w:highlight w:val="none"/>
          <w:lang w:val="zh-CN"/>
        </w:rPr>
        <w:t>：</w:t>
      </w:r>
    </w:p>
    <w:p w14:paraId="771A21C5">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7.1</w:t>
      </w:r>
      <w:r>
        <w:rPr>
          <w:rFonts w:hint="eastAsia" w:ascii="宋体" w:hAnsi="宋体" w:cs="宋体"/>
          <w:color w:val="auto"/>
          <w:szCs w:val="21"/>
          <w:highlight w:val="none"/>
          <w:lang w:val="zh-CN" w:eastAsia="zh-CN"/>
        </w:rPr>
        <w:t>投标人提供的耗材</w:t>
      </w:r>
      <w:r>
        <w:rPr>
          <w:rFonts w:hint="eastAsia" w:ascii="宋体" w:hAnsi="宋体" w:cs="宋体"/>
          <w:color w:val="auto"/>
          <w:szCs w:val="21"/>
          <w:highlight w:val="none"/>
          <w:lang w:val="en-US" w:eastAsia="zh-CN"/>
        </w:rPr>
        <w:t>应</w:t>
      </w:r>
      <w:r>
        <w:rPr>
          <w:rFonts w:hint="eastAsia" w:ascii="宋体" w:hAnsi="宋体" w:cs="宋体"/>
          <w:color w:val="auto"/>
          <w:szCs w:val="21"/>
          <w:highlight w:val="none"/>
          <w:lang w:val="zh-CN" w:eastAsia="zh-CN"/>
        </w:rPr>
        <w:t>符合国家承认的相应标准。</w:t>
      </w:r>
      <w:r>
        <w:rPr>
          <w:rFonts w:hint="eastAsia" w:ascii="宋体" w:hAnsi="宋体" w:cs="宋体"/>
          <w:color w:val="auto"/>
          <w:szCs w:val="21"/>
          <w:highlight w:val="none"/>
          <w:lang w:val="en-US" w:eastAsia="zh-CN"/>
        </w:rPr>
        <w:t>满足采购要求。</w:t>
      </w:r>
    </w:p>
    <w:p w14:paraId="43D72BC5">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cs="宋体"/>
          <w:color w:val="auto"/>
          <w:szCs w:val="21"/>
          <w:highlight w:val="none"/>
          <w:lang w:val="zh-CN" w:eastAsia="zh-CN"/>
        </w:rPr>
      </w:pPr>
      <w:r>
        <w:rPr>
          <w:rFonts w:hint="eastAsia" w:ascii="宋体" w:hAnsi="宋体" w:cs="宋体"/>
          <w:color w:val="auto"/>
          <w:szCs w:val="21"/>
          <w:highlight w:val="none"/>
          <w:lang w:val="en-US" w:eastAsia="zh-CN"/>
        </w:rPr>
        <w:t>7.2</w:t>
      </w:r>
      <w:r>
        <w:rPr>
          <w:rFonts w:hint="eastAsia" w:ascii="宋体" w:hAnsi="宋体" w:cs="宋体"/>
          <w:color w:val="auto"/>
          <w:szCs w:val="21"/>
          <w:highlight w:val="none"/>
          <w:lang w:val="zh-CN" w:eastAsia="zh-CN"/>
        </w:rPr>
        <w:t>投标人所提供的</w:t>
      </w:r>
      <w:r>
        <w:rPr>
          <w:rFonts w:hint="eastAsia" w:ascii="宋体" w:hAnsi="宋体" w:cs="宋体"/>
          <w:color w:val="auto"/>
          <w:szCs w:val="21"/>
          <w:highlight w:val="none"/>
          <w:lang w:val="en-US" w:eastAsia="zh-CN"/>
        </w:rPr>
        <w:t>应</w:t>
      </w:r>
      <w:r>
        <w:rPr>
          <w:rFonts w:hint="eastAsia" w:ascii="宋体" w:hAnsi="宋体" w:cs="宋体"/>
          <w:color w:val="auto"/>
          <w:szCs w:val="21"/>
          <w:highlight w:val="none"/>
          <w:lang w:val="zh-CN" w:eastAsia="zh-CN"/>
        </w:rPr>
        <w:t>是其合法生产或代理的合格耗材，并能够按照耗材成交确认合同规定的商标、产地、质量、价格、</w:t>
      </w:r>
      <w:r>
        <w:rPr>
          <w:rFonts w:hint="eastAsia" w:ascii="宋体" w:hAnsi="宋体" w:cs="宋体"/>
          <w:color w:val="auto"/>
          <w:szCs w:val="21"/>
          <w:highlight w:val="none"/>
          <w:lang w:val="en-US" w:eastAsia="zh-CN"/>
        </w:rPr>
        <w:t>有</w:t>
      </w:r>
      <w:r>
        <w:rPr>
          <w:rFonts w:hint="eastAsia" w:ascii="宋体" w:hAnsi="宋体" w:cs="宋体"/>
          <w:color w:val="auto"/>
          <w:szCs w:val="21"/>
          <w:highlight w:val="none"/>
          <w:lang w:val="zh-CN" w:eastAsia="zh-CN"/>
        </w:rPr>
        <w:t>效期及时供货。</w:t>
      </w:r>
    </w:p>
    <w:p w14:paraId="78D5FDEC">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7.3</w:t>
      </w:r>
      <w:r>
        <w:rPr>
          <w:rFonts w:hint="eastAsia" w:ascii="宋体" w:hAnsi="宋体" w:eastAsia="宋体" w:cs="宋体"/>
          <w:color w:val="auto"/>
          <w:sz w:val="21"/>
          <w:szCs w:val="21"/>
          <w:highlight w:val="none"/>
          <w:lang w:val="zh-CN"/>
        </w:rPr>
        <w:t>耗材外观清洁，产品包装上（包括大包装、小包装等）需附有以下所列各项国家规定的中文标识：</w:t>
      </w:r>
    </w:p>
    <w:p w14:paraId="12AA719E">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（1）耗材名称、型号、规格；</w:t>
      </w:r>
    </w:p>
    <w:p w14:paraId="7970AA57">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（2）生产企业名称、注册地址、生产地址、联系方式；</w:t>
      </w:r>
    </w:p>
    <w:p w14:paraId="7BD933FF">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）耗材生产日期或批（编）号、有效期限。</w:t>
      </w:r>
    </w:p>
    <w:p w14:paraId="15B48AC0">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7.4</w:t>
      </w:r>
      <w:r>
        <w:rPr>
          <w:rFonts w:hint="eastAsia" w:ascii="宋体" w:hAnsi="宋体" w:eastAsia="宋体" w:cs="宋体"/>
          <w:color w:val="auto"/>
          <w:sz w:val="21"/>
          <w:szCs w:val="21"/>
          <w:highlight w:val="none"/>
          <w:lang w:val="zh-CN"/>
        </w:rPr>
        <w:t>所有耗材在开封检验时</w:t>
      </w:r>
      <w:r>
        <w:rPr>
          <w:rFonts w:hint="eastAsia" w:ascii="宋体" w:hAnsi="宋体" w:cs="宋体"/>
          <w:color w:val="auto"/>
          <w:szCs w:val="21"/>
          <w:highlight w:val="none"/>
          <w:lang w:val="en-US" w:eastAsia="zh-CN"/>
        </w:rPr>
        <w:t>应</w:t>
      </w:r>
      <w:r>
        <w:rPr>
          <w:rFonts w:hint="eastAsia" w:ascii="宋体" w:hAnsi="宋体" w:eastAsia="宋体" w:cs="宋体"/>
          <w:color w:val="auto"/>
          <w:sz w:val="21"/>
          <w:szCs w:val="21"/>
          <w:highlight w:val="none"/>
          <w:lang w:val="zh-CN"/>
        </w:rPr>
        <w:t>完好，无破损，配置与说明书相符。如有破损，应无条件退换。</w:t>
      </w:r>
    </w:p>
    <w:p w14:paraId="03E23A03">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7.5</w:t>
      </w:r>
      <w:r>
        <w:rPr>
          <w:rFonts w:hint="eastAsia" w:ascii="宋体" w:hAnsi="宋体" w:eastAsia="宋体" w:cs="宋体"/>
          <w:color w:val="auto"/>
          <w:sz w:val="21"/>
          <w:szCs w:val="21"/>
          <w:highlight w:val="none"/>
          <w:lang w:val="zh-CN"/>
        </w:rPr>
        <w:t>耗材符合</w:t>
      </w:r>
      <w:r>
        <w:rPr>
          <w:rFonts w:hint="eastAsia" w:ascii="宋体" w:hAnsi="宋体" w:cs="宋体"/>
          <w:color w:val="auto"/>
          <w:sz w:val="21"/>
          <w:szCs w:val="21"/>
          <w:highlight w:val="none"/>
          <w:lang w:val="en-US" w:eastAsia="zh-CN"/>
        </w:rPr>
        <w:t>征集</w:t>
      </w:r>
      <w:r>
        <w:rPr>
          <w:rFonts w:hint="eastAsia" w:ascii="宋体" w:hAnsi="宋体" w:eastAsia="宋体" w:cs="宋体"/>
          <w:color w:val="auto"/>
          <w:sz w:val="21"/>
          <w:szCs w:val="21"/>
          <w:highlight w:val="none"/>
          <w:lang w:val="zh-CN"/>
        </w:rPr>
        <w:t>文件技术要求，具备产品合格证，性能满足要求。</w:t>
      </w:r>
    </w:p>
    <w:p w14:paraId="13A7BD2A">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7.6采购人</w:t>
      </w:r>
      <w:r>
        <w:rPr>
          <w:rFonts w:hint="eastAsia" w:ascii="宋体" w:hAnsi="宋体" w:eastAsia="宋体" w:cs="宋体"/>
          <w:color w:val="auto"/>
          <w:szCs w:val="21"/>
          <w:highlight w:val="none"/>
          <w:lang w:val="en-US" w:eastAsia="zh-CN"/>
        </w:rPr>
        <w:t>接受货物后若有疑义或使用前发现不宜使用的现象，</w:t>
      </w:r>
      <w:r>
        <w:rPr>
          <w:rFonts w:hint="eastAsia" w:ascii="宋体" w:hAnsi="宋体" w:cs="宋体"/>
          <w:color w:val="auto"/>
          <w:szCs w:val="21"/>
          <w:highlight w:val="none"/>
          <w:lang w:val="en-US" w:eastAsia="zh-CN"/>
        </w:rPr>
        <w:t>中标人需</w:t>
      </w:r>
      <w:r>
        <w:rPr>
          <w:rFonts w:hint="eastAsia" w:ascii="宋体" w:hAnsi="宋体" w:eastAsia="宋体" w:cs="宋体"/>
          <w:color w:val="auto"/>
          <w:szCs w:val="21"/>
          <w:highlight w:val="none"/>
          <w:lang w:val="en-US" w:eastAsia="zh-CN"/>
        </w:rPr>
        <w:t>提供退换货服务</w:t>
      </w:r>
      <w:r>
        <w:rPr>
          <w:rFonts w:hint="eastAsia" w:ascii="宋体" w:hAnsi="宋体" w:cs="宋体"/>
          <w:color w:val="auto"/>
          <w:szCs w:val="21"/>
          <w:highlight w:val="none"/>
          <w:lang w:val="en-US" w:eastAsia="zh-CN"/>
        </w:rPr>
        <w:t>，不额外收费</w:t>
      </w:r>
      <w:r>
        <w:rPr>
          <w:rFonts w:hint="eastAsia" w:ascii="宋体" w:hAnsi="宋体" w:eastAsia="宋体" w:cs="宋体"/>
          <w:color w:val="auto"/>
          <w:szCs w:val="21"/>
          <w:highlight w:val="none"/>
          <w:lang w:val="en-US" w:eastAsia="zh-CN"/>
        </w:rPr>
        <w:t>。</w:t>
      </w:r>
    </w:p>
    <w:p w14:paraId="2467B0F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zh-CN"/>
        </w:rPr>
      </w:pP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zh-CN"/>
        </w:rPr>
        <w:t>运输要求</w:t>
      </w:r>
      <w:r>
        <w:rPr>
          <w:rFonts w:hint="eastAsia" w:ascii="宋体" w:hAnsi="宋体" w:cs="宋体"/>
          <w:b/>
          <w:bCs/>
          <w:color w:val="auto"/>
          <w:sz w:val="21"/>
          <w:szCs w:val="21"/>
          <w:highlight w:val="none"/>
          <w:lang w:val="zh-CN"/>
        </w:rPr>
        <w:t>：</w:t>
      </w:r>
      <w:r>
        <w:rPr>
          <w:rFonts w:hint="eastAsia" w:ascii="宋体" w:hAnsi="宋体" w:cs="宋体"/>
          <w:color w:val="auto"/>
          <w:sz w:val="21"/>
          <w:szCs w:val="21"/>
          <w:highlight w:val="none"/>
          <w:lang w:val="en-US" w:eastAsia="zh-CN"/>
        </w:rPr>
        <w:t>中</w:t>
      </w:r>
      <w:r>
        <w:rPr>
          <w:rFonts w:hint="eastAsia" w:ascii="宋体" w:hAnsi="宋体" w:eastAsia="宋体" w:cs="宋体"/>
          <w:color w:val="auto"/>
          <w:sz w:val="21"/>
          <w:szCs w:val="21"/>
          <w:highlight w:val="none"/>
          <w:lang w:val="zh-CN"/>
        </w:rPr>
        <w:t>标人负责将耗材安全无损运抵采购人指定地点，并承担包装、运输、保险、装卸、关税、增值税等费用。</w:t>
      </w:r>
    </w:p>
    <w:p w14:paraId="7722D280">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zh-CN"/>
        </w:rPr>
      </w:pP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zh-CN"/>
        </w:rPr>
        <w:t>质量及知识产权要求</w:t>
      </w:r>
      <w:r>
        <w:rPr>
          <w:rFonts w:hint="eastAsia" w:ascii="宋体" w:hAnsi="宋体" w:cs="宋体"/>
          <w:b/>
          <w:bCs/>
          <w:color w:val="auto"/>
          <w:sz w:val="21"/>
          <w:szCs w:val="21"/>
          <w:highlight w:val="none"/>
          <w:lang w:val="zh-CN"/>
        </w:rPr>
        <w:t>：</w:t>
      </w:r>
    </w:p>
    <w:p w14:paraId="249F376F">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投标人应保证采购人在使用该货物或其任何一部分时，免受第三方提出的侵犯其专利权、商标权、著作权或其它知识产权的起诉。投标人保证所提供软件的合法性，所发生的任何知识产权纠纷与采购人无关。</w:t>
      </w:r>
    </w:p>
    <w:p w14:paraId="33D00D2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采购人购买产品后，有权对该产品与其他设备进行配套、整合或适当改进，而免受侵犯专利权的起诉。</w:t>
      </w:r>
    </w:p>
    <w:p w14:paraId="0FD884CC">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zh-CN"/>
        </w:rPr>
        <w:t>违约责任</w:t>
      </w:r>
      <w:r>
        <w:rPr>
          <w:rFonts w:hint="eastAsia" w:ascii="宋体" w:hAnsi="宋体" w:cs="宋体"/>
          <w:b/>
          <w:bCs/>
          <w:color w:val="auto"/>
          <w:sz w:val="21"/>
          <w:szCs w:val="21"/>
          <w:highlight w:val="none"/>
          <w:lang w:val="zh-CN"/>
        </w:rPr>
        <w:t>：</w:t>
      </w:r>
    </w:p>
    <w:p w14:paraId="2E2E01DD">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10.1</w:t>
      </w:r>
      <w:r>
        <w:rPr>
          <w:rFonts w:hint="eastAsia" w:ascii="宋体" w:hAnsi="宋体" w:eastAsia="宋体" w:cs="宋体"/>
          <w:color w:val="auto"/>
          <w:sz w:val="21"/>
          <w:szCs w:val="21"/>
          <w:highlight w:val="none"/>
          <w:lang w:val="zh-CN"/>
        </w:rPr>
        <w:t>如投标人未按照投标文件中承诺的时间交货或提供服务，投标人应承担延期交货和延期服务的违约责任，并赔偿采购人因此造成的实际经济损失。</w:t>
      </w:r>
    </w:p>
    <w:p w14:paraId="118206F7">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10.2</w:t>
      </w:r>
      <w:r>
        <w:rPr>
          <w:rFonts w:hint="eastAsia" w:ascii="宋体" w:hAnsi="宋体" w:eastAsia="宋体" w:cs="宋体"/>
          <w:color w:val="auto"/>
          <w:sz w:val="21"/>
          <w:szCs w:val="21"/>
          <w:highlight w:val="none"/>
          <w:lang w:val="zh-CN"/>
        </w:rPr>
        <w:t>投标人所提供检测试剂的品种、型号、规格、质量、技术参数等方面不能实质性满足遴选文件要约的，采购人有权拒绝收货，投标人向采购人偿付项目采购金额千分之十（千分之十以上千分之二十以下）的违约金；造成严重后果的，根据《深圳经济特区政府采购条例》第五十七条第（二）款规定，由主管部门对中标人进行处罚。</w:t>
      </w:r>
    </w:p>
    <w:p w14:paraId="60FDCCE1">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10.3</w:t>
      </w:r>
      <w:r>
        <w:rPr>
          <w:rFonts w:hint="eastAsia" w:ascii="宋体" w:hAnsi="宋体" w:eastAsia="宋体" w:cs="宋体"/>
          <w:color w:val="auto"/>
          <w:sz w:val="21"/>
          <w:szCs w:val="21"/>
          <w:highlight w:val="none"/>
          <w:lang w:val="zh-CN"/>
        </w:rPr>
        <w:t>投标人不能交付</w:t>
      </w:r>
      <w:r>
        <w:rPr>
          <w:rFonts w:hint="eastAsia" w:ascii="宋体" w:hAnsi="宋体" w:cs="宋体"/>
          <w:color w:val="auto"/>
          <w:sz w:val="21"/>
          <w:szCs w:val="21"/>
          <w:highlight w:val="none"/>
          <w:lang w:val="en-US" w:eastAsia="zh-CN"/>
        </w:rPr>
        <w:t>产品时</w:t>
      </w:r>
      <w:r>
        <w:rPr>
          <w:rFonts w:hint="eastAsia" w:ascii="宋体" w:hAnsi="宋体" w:eastAsia="宋体" w:cs="宋体"/>
          <w:color w:val="auto"/>
          <w:sz w:val="21"/>
          <w:szCs w:val="21"/>
          <w:highlight w:val="none"/>
          <w:lang w:val="zh-CN"/>
        </w:rPr>
        <w:t>，投标人向采购人偿付项目采购金额千分之二十（千分之十以上千分之二十以下）的违约金；造成严重后果的，根据《深圳经济特区政府采购条例》第五十七条第（二）款规定，由主管部门对中标人进行处罚。</w:t>
      </w:r>
    </w:p>
    <w:p w14:paraId="5097FA0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Theme="minorEastAsia" w:hAnsiTheme="minorEastAsia" w:eastAsiaTheme="minorEastAsia"/>
          <w:b/>
          <w:bCs/>
          <w:color w:val="auto"/>
          <w:szCs w:val="21"/>
        </w:rPr>
        <w:t>★</w:t>
      </w:r>
      <w:r>
        <w:rPr>
          <w:rFonts w:hint="eastAsia" w:ascii="宋体" w:hAnsi="宋体" w:eastAsia="宋体" w:cs="宋体"/>
          <w:b/>
          <w:bCs/>
          <w:color w:val="auto"/>
          <w:sz w:val="21"/>
          <w:szCs w:val="21"/>
          <w:highlight w:val="none"/>
          <w:lang w:val="en-US" w:eastAsia="zh-CN"/>
        </w:rPr>
        <w:t>11.其他商务要求：</w:t>
      </w:r>
    </w:p>
    <w:p w14:paraId="38B25A18">
      <w:pPr>
        <w:keepNext w:val="0"/>
        <w:keepLines w:val="0"/>
        <w:suppressLineNumbers w:val="0"/>
        <w:spacing w:before="0" w:beforeAutospacing="0" w:after="0" w:afterAutospacing="0"/>
        <w:ind w:left="0" w:right="0" w:firstLine="420" w:firstLineChars="20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11.1中标公司无条件配合医院SPD物流精细化管理服务，同时承诺支付每月管理服务费(不超当月供货总额的3%)，具体与医院签合同时按合同条款执行。</w:t>
      </w:r>
    </w:p>
    <w:p w14:paraId="438C1245">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6271AEF">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6F7597F">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200CBE54">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C9F282B">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bookmarkStart w:id="10" w:name="_Toc16150"/>
    </w:p>
    <w:p w14:paraId="39635CDA">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16FD5AC7">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7FBA496D">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4F866529">
      <w:pPr>
        <w:rPr>
          <w:rFonts w:hint="eastAsia"/>
          <w:lang w:val="en-US" w:eastAsia="zh-CN"/>
        </w:rPr>
      </w:pPr>
    </w:p>
    <w:p w14:paraId="190D8EC6">
      <w:pPr>
        <w:rPr>
          <w:rFonts w:hint="eastAsia"/>
          <w:lang w:val="en-US" w:eastAsia="zh-CN"/>
        </w:rPr>
      </w:pPr>
    </w:p>
    <w:p w14:paraId="33A5D369">
      <w:pPr>
        <w:rPr>
          <w:rFonts w:hint="eastAsia"/>
          <w:lang w:val="en-US" w:eastAsia="zh-CN"/>
        </w:rPr>
      </w:pPr>
    </w:p>
    <w:p w14:paraId="0FAB7815">
      <w:pPr>
        <w:pStyle w:val="3"/>
        <w:numPr>
          <w:ilvl w:val="0"/>
          <w:numId w:val="0"/>
        </w:numPr>
        <w:spacing w:line="240" w:lineRule="auto"/>
        <w:ind w:left="0" w:leftChars="0" w:firstLine="0" w:firstLineChars="0"/>
        <w:jc w:val="both"/>
        <w:outlineLvl w:val="0"/>
        <w:rPr>
          <w:rFonts w:hint="eastAsia" w:asciiTheme="majorEastAsia" w:hAnsiTheme="majorEastAsia" w:eastAsiaTheme="majorEastAsia" w:cstheme="majorEastAsia"/>
          <w:kern w:val="2"/>
          <w:sz w:val="32"/>
          <w:szCs w:val="32"/>
          <w:lang w:val="en-US" w:eastAsia="zh-CN" w:bidi="ar-SA"/>
        </w:rPr>
      </w:pPr>
    </w:p>
    <w:p w14:paraId="14223FBC">
      <w:pPr>
        <w:rPr>
          <w:rFonts w:hint="eastAsia" w:asciiTheme="majorEastAsia" w:hAnsiTheme="majorEastAsia" w:eastAsiaTheme="majorEastAsia" w:cstheme="majorEastAsia"/>
          <w:kern w:val="2"/>
          <w:sz w:val="32"/>
          <w:szCs w:val="32"/>
          <w:lang w:val="en-US" w:eastAsia="zh-CN" w:bidi="ar-SA"/>
        </w:rPr>
      </w:pPr>
    </w:p>
    <w:p w14:paraId="410CB6CB">
      <w:pPr>
        <w:rPr>
          <w:rFonts w:hint="eastAsia" w:asciiTheme="majorEastAsia" w:hAnsiTheme="majorEastAsia" w:eastAsiaTheme="majorEastAsia" w:cstheme="majorEastAsia"/>
          <w:kern w:val="2"/>
          <w:sz w:val="32"/>
          <w:szCs w:val="32"/>
          <w:lang w:val="en-US" w:eastAsia="zh-CN" w:bidi="ar-SA"/>
        </w:rPr>
      </w:pPr>
    </w:p>
    <w:p w14:paraId="32EDB5D3">
      <w:pPr>
        <w:rPr>
          <w:rFonts w:hint="eastAsia" w:asciiTheme="majorEastAsia" w:hAnsiTheme="majorEastAsia" w:eastAsiaTheme="majorEastAsia" w:cstheme="majorEastAsia"/>
          <w:kern w:val="2"/>
          <w:sz w:val="32"/>
          <w:szCs w:val="32"/>
          <w:lang w:val="en-US" w:eastAsia="zh-CN" w:bidi="ar-SA"/>
        </w:rPr>
      </w:pPr>
    </w:p>
    <w:p w14:paraId="053FDA28">
      <w:pPr>
        <w:rPr>
          <w:rFonts w:hint="eastAsia" w:asciiTheme="majorEastAsia" w:hAnsiTheme="majorEastAsia" w:eastAsiaTheme="majorEastAsia" w:cstheme="majorEastAsia"/>
          <w:kern w:val="2"/>
          <w:sz w:val="32"/>
          <w:szCs w:val="32"/>
          <w:lang w:val="en-US" w:eastAsia="zh-CN" w:bidi="ar-SA"/>
        </w:rPr>
      </w:pPr>
    </w:p>
    <w:p w14:paraId="45022493">
      <w:pPr>
        <w:rPr>
          <w:rFonts w:hint="eastAsia" w:asciiTheme="majorEastAsia" w:hAnsiTheme="majorEastAsia" w:eastAsiaTheme="majorEastAsia" w:cstheme="majorEastAsia"/>
          <w:kern w:val="2"/>
          <w:sz w:val="32"/>
          <w:szCs w:val="32"/>
          <w:lang w:val="en-US" w:eastAsia="zh-CN" w:bidi="ar-SA"/>
        </w:rPr>
      </w:pPr>
    </w:p>
    <w:p w14:paraId="6C758B13">
      <w:pPr>
        <w:rPr>
          <w:rFonts w:hint="eastAsia" w:asciiTheme="majorEastAsia" w:hAnsiTheme="majorEastAsia" w:eastAsiaTheme="majorEastAsia" w:cstheme="majorEastAsia"/>
          <w:kern w:val="2"/>
          <w:sz w:val="32"/>
          <w:szCs w:val="32"/>
          <w:lang w:val="en-US" w:eastAsia="zh-CN" w:bidi="ar-SA"/>
        </w:rPr>
      </w:pPr>
    </w:p>
    <w:p w14:paraId="3A9608B4">
      <w:pPr>
        <w:rPr>
          <w:rFonts w:hint="eastAsia" w:asciiTheme="majorEastAsia" w:hAnsiTheme="majorEastAsia" w:eastAsiaTheme="majorEastAsia" w:cstheme="majorEastAsia"/>
          <w:kern w:val="2"/>
          <w:sz w:val="32"/>
          <w:szCs w:val="32"/>
          <w:lang w:val="en-US" w:eastAsia="zh-CN" w:bidi="ar-SA"/>
        </w:rPr>
      </w:pPr>
    </w:p>
    <w:p w14:paraId="0180073C">
      <w:pPr>
        <w:rPr>
          <w:rFonts w:hint="eastAsia" w:asciiTheme="majorEastAsia" w:hAnsiTheme="majorEastAsia" w:eastAsiaTheme="majorEastAsia" w:cstheme="majorEastAsia"/>
          <w:kern w:val="2"/>
          <w:sz w:val="32"/>
          <w:szCs w:val="32"/>
          <w:lang w:val="en-US" w:eastAsia="zh-CN" w:bidi="ar-SA"/>
        </w:rPr>
      </w:pPr>
    </w:p>
    <w:p w14:paraId="3EA8A867">
      <w:pPr>
        <w:rPr>
          <w:rFonts w:hint="eastAsia" w:asciiTheme="majorEastAsia" w:hAnsiTheme="majorEastAsia" w:eastAsiaTheme="majorEastAsia" w:cstheme="majorEastAsia"/>
          <w:kern w:val="2"/>
          <w:sz w:val="32"/>
          <w:szCs w:val="32"/>
          <w:lang w:val="en-US" w:eastAsia="zh-CN" w:bidi="ar-SA"/>
        </w:rPr>
      </w:pPr>
    </w:p>
    <w:p w14:paraId="5860D955">
      <w:pPr>
        <w:rPr>
          <w:rFonts w:hint="eastAsia" w:asciiTheme="majorEastAsia" w:hAnsiTheme="majorEastAsia" w:eastAsiaTheme="majorEastAsia" w:cstheme="majorEastAsia"/>
          <w:kern w:val="2"/>
          <w:sz w:val="32"/>
          <w:szCs w:val="32"/>
          <w:lang w:val="en-US" w:eastAsia="zh-CN" w:bidi="ar-SA"/>
        </w:rPr>
      </w:pPr>
    </w:p>
    <w:p w14:paraId="666A6CCD">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第三章 </w:t>
      </w:r>
      <w:r>
        <w:rPr>
          <w:rFonts w:hint="eastAsia" w:asciiTheme="majorEastAsia" w:hAnsiTheme="majorEastAsia" w:eastAsiaTheme="majorEastAsia" w:cstheme="majorEastAsia"/>
          <w:sz w:val="32"/>
          <w:szCs w:val="32"/>
        </w:rPr>
        <w:t>开标、评标、定标</w:t>
      </w:r>
      <w:bookmarkEnd w:id="10"/>
    </w:p>
    <w:p w14:paraId="3B4C8BEE">
      <w:pPr>
        <w:pStyle w:val="3"/>
        <w:numPr>
          <w:ilvl w:val="0"/>
          <w:numId w:val="10"/>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1" w:name="_Toc1988"/>
      <w:bookmarkStart w:id="12" w:name="_Toc15209"/>
      <w:bookmarkStart w:id="13" w:name="_Toc24015563"/>
      <w:bookmarkStart w:id="14" w:name="_Toc10794"/>
      <w:r>
        <w:rPr>
          <w:rFonts w:hint="eastAsia" w:ascii="宋体" w:hAnsi="宋体" w:cs="宋体" w:eastAsiaTheme="minorEastAsia"/>
          <w:kern w:val="2"/>
          <w:sz w:val="21"/>
          <w:szCs w:val="21"/>
          <w:lang w:val="en-US" w:eastAsia="zh-CN" w:bidi="ar-SA"/>
        </w:rPr>
        <w:t>资格性审查表</w:t>
      </w:r>
      <w:bookmarkEnd w:id="11"/>
      <w:bookmarkEnd w:id="12"/>
      <w:bookmarkEnd w:id="13"/>
      <w:bookmarkEnd w:id="14"/>
    </w:p>
    <w:tbl>
      <w:tblPr>
        <w:tblStyle w:val="1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1448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F38D1B1">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5" w:name="_Toc15975"/>
            <w:r>
              <w:rPr>
                <w:rFonts w:hint="eastAsia" w:ascii="宋体" w:hAnsi="宋体" w:eastAsia="宋体" w:cs="宋体"/>
                <w:b/>
                <w:bCs/>
                <w:color w:val="000000"/>
                <w:sz w:val="21"/>
                <w:szCs w:val="21"/>
              </w:rPr>
              <w:t>序号</w:t>
            </w:r>
          </w:p>
        </w:tc>
        <w:tc>
          <w:tcPr>
            <w:tcW w:w="9286" w:type="dxa"/>
            <w:noWrap w:val="0"/>
            <w:vAlign w:val="center"/>
          </w:tcPr>
          <w:p w14:paraId="71E426C9">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DCC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15C2584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5DCC1074">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086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97C909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187AA579">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5"/>
    </w:p>
    <w:p w14:paraId="41BA4C69">
      <w:pPr>
        <w:pStyle w:val="3"/>
        <w:numPr>
          <w:ilvl w:val="0"/>
          <w:numId w:val="10"/>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6" w:name="_Toc11989"/>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bookmarkEnd w:id="16"/>
    </w:p>
    <w:tbl>
      <w:tblPr>
        <w:tblStyle w:val="17"/>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noWrap w:val="0"/>
            <w:vAlign w:val="center"/>
          </w:tcPr>
          <w:p w14:paraId="02E74DB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319" w:type="dxa"/>
            <w:noWrap w:val="0"/>
            <w:vAlign w:val="center"/>
          </w:tcPr>
          <w:p w14:paraId="66D5BC0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noWrap w:val="0"/>
            <w:vAlign w:val="center"/>
          </w:tcPr>
          <w:p w14:paraId="3684B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319" w:type="dxa"/>
            <w:noWrap w:val="0"/>
            <w:vAlign w:val="center"/>
          </w:tcPr>
          <w:p w14:paraId="5094F6E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29F5E7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319" w:type="dxa"/>
            <w:noWrap w:val="0"/>
            <w:vAlign w:val="center"/>
          </w:tcPr>
          <w:p w14:paraId="2FA4074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noWrap w:val="0"/>
            <w:vAlign w:val="center"/>
          </w:tcPr>
          <w:p w14:paraId="15D796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9319" w:type="dxa"/>
            <w:noWrap w:val="0"/>
            <w:vAlign w:val="center"/>
          </w:tcPr>
          <w:p w14:paraId="50C53FF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分项报价或投标总价高于限价，或未按照</w:t>
            </w:r>
            <w:r>
              <w:rPr>
                <w:rFonts w:hint="eastAsia" w:ascii="宋体" w:hAnsi="宋体" w:eastAsia="宋体" w:cs="宋体"/>
                <w:sz w:val="21"/>
                <w:szCs w:val="21"/>
                <w:lang w:val="en-US" w:eastAsia="zh-CN"/>
              </w:rPr>
              <w:t>征集</w:t>
            </w:r>
            <w:r>
              <w:rPr>
                <w:rFonts w:hint="eastAsia" w:ascii="宋体" w:hAnsi="宋体" w:eastAsia="宋体" w:cs="宋体"/>
                <w:sz w:val="21"/>
                <w:szCs w:val="21"/>
              </w:rPr>
              <w:t>文件的报价要求进行报价的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noWrap w:val="0"/>
            <w:vAlign w:val="center"/>
          </w:tcPr>
          <w:p w14:paraId="54B0DF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9319" w:type="dxa"/>
            <w:noWrap w:val="0"/>
            <w:vAlign w:val="center"/>
          </w:tcPr>
          <w:p w14:paraId="6012D7A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noWrap w:val="0"/>
            <w:vAlign w:val="center"/>
          </w:tcPr>
          <w:p w14:paraId="3B2F8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9319" w:type="dxa"/>
            <w:noWrap w:val="0"/>
            <w:vAlign w:val="center"/>
          </w:tcPr>
          <w:p w14:paraId="615E946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评审</w:t>
            </w:r>
            <w:r>
              <w:rPr>
                <w:rFonts w:hint="eastAsia" w:ascii="宋体" w:hAnsi="宋体" w:eastAsia="宋体" w:cs="宋体"/>
                <w:sz w:val="21"/>
                <w:szCs w:val="21"/>
              </w:rPr>
              <w:t>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w:t>
            </w:r>
            <w:r>
              <w:rPr>
                <w:rFonts w:hint="eastAsia" w:ascii="宋体" w:hAnsi="宋体" w:eastAsia="宋体" w:cs="宋体"/>
                <w:sz w:val="21"/>
                <w:szCs w:val="21"/>
                <w:lang w:val="en-US" w:eastAsia="zh-CN"/>
              </w:rPr>
              <w:t>评审</w:t>
            </w:r>
            <w:r>
              <w:rPr>
                <w:rFonts w:hint="eastAsia" w:ascii="宋体" w:hAnsi="宋体" w:eastAsia="宋体" w:cs="宋体"/>
                <w:sz w:val="21"/>
                <w:szCs w:val="21"/>
              </w:rPr>
              <w:t>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w:t>
            </w:r>
            <w:r>
              <w:rPr>
                <w:rFonts w:hint="eastAsia" w:ascii="宋体" w:hAnsi="宋体" w:eastAsia="宋体" w:cs="宋体"/>
                <w:sz w:val="21"/>
                <w:szCs w:val="21"/>
                <w:lang w:val="en-US" w:eastAsia="zh-CN"/>
              </w:rPr>
              <w:t>评审</w:t>
            </w:r>
            <w:r>
              <w:rPr>
                <w:rFonts w:hint="eastAsia" w:ascii="宋体" w:hAnsi="宋体" w:eastAsia="宋体" w:cs="宋体"/>
                <w:sz w:val="21"/>
                <w:szCs w:val="21"/>
              </w:rPr>
              <w:t>小组的意见，投标文件的轻微瑕疵、非关键内容不得作为认定投标无效的依据）</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2CBFE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9319" w:type="dxa"/>
            <w:noWrap w:val="0"/>
            <w:vAlign w:val="center"/>
          </w:tcPr>
          <w:p w14:paraId="07E171B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noWrap w:val="0"/>
            <w:vAlign w:val="center"/>
          </w:tcPr>
          <w:p w14:paraId="584C96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9319" w:type="dxa"/>
            <w:noWrap w:val="0"/>
            <w:vAlign w:val="center"/>
          </w:tcPr>
          <w:p w14:paraId="0ECC420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noWrap w:val="0"/>
            <w:vAlign w:val="center"/>
          </w:tcPr>
          <w:p w14:paraId="4189910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9</w:t>
            </w:r>
          </w:p>
        </w:tc>
        <w:tc>
          <w:tcPr>
            <w:tcW w:w="9319" w:type="dxa"/>
            <w:noWrap w:val="0"/>
            <w:vAlign w:val="center"/>
          </w:tcPr>
          <w:p w14:paraId="4504AFE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根据《分项报价清单》做出评判）；</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0EF1F89F">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9319" w:type="dxa"/>
            <w:noWrap w:val="0"/>
            <w:vAlign w:val="center"/>
          </w:tcPr>
          <w:p w14:paraId="55DC8266">
            <w:pPr>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77071F0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p>
        </w:tc>
        <w:tc>
          <w:tcPr>
            <w:tcW w:w="9319" w:type="dxa"/>
            <w:noWrap w:val="0"/>
            <w:vAlign w:val="center"/>
          </w:tcPr>
          <w:p w14:paraId="659C8E5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法律法规规定的其他情形</w:t>
            </w:r>
          </w:p>
        </w:tc>
      </w:tr>
    </w:tbl>
    <w:p w14:paraId="0A4E0289">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5"/>
        <w:numPr>
          <w:ilvl w:val="0"/>
          <w:numId w:val="11"/>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8"/>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1C6C0329">
      <w:pPr>
        <w:tabs>
          <w:tab w:val="left" w:pos="420"/>
          <w:tab w:val="left" w:pos="630"/>
        </w:tabs>
        <w:autoSpaceDE w:val="0"/>
        <w:autoSpaceDN w:val="0"/>
        <w:adjustRightInd w:val="0"/>
        <w:spacing w:line="360" w:lineRule="auto"/>
        <w:rPr>
          <w:rFonts w:hint="eastAsia" w:ascii="宋体" w:cs="宋体"/>
          <w:szCs w:val="21"/>
          <w:lang w:val="en-US" w:eastAsia="zh-CN"/>
        </w:rPr>
      </w:pPr>
    </w:p>
    <w:p w14:paraId="46EE8D27">
      <w:pPr>
        <w:pStyle w:val="30"/>
        <w:widowControl/>
        <w:numPr>
          <w:ilvl w:val="0"/>
          <w:numId w:val="12"/>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5A295094">
      <w:pPr>
        <w:pStyle w:val="30"/>
        <w:widowControl/>
        <w:numPr>
          <w:ilvl w:val="0"/>
          <w:numId w:val="0"/>
        </w:numPr>
        <w:spacing w:line="360" w:lineRule="auto"/>
        <w:ind w:leftChars="0"/>
        <w:jc w:val="left"/>
        <w:rPr>
          <w:rFonts w:hAnsi="宋体"/>
          <w:color w:val="auto"/>
        </w:rPr>
      </w:pPr>
      <w:r>
        <w:rPr>
          <w:rFonts w:hint="eastAsia" w:ascii="宋体" w:hAnsi="宋体" w:cs="宋体"/>
          <w:szCs w:val="21"/>
          <w:lang w:val="en-US" w:eastAsia="zh-CN"/>
        </w:rPr>
        <w:t>1.1. 应在</w:t>
      </w:r>
      <w:r>
        <w:rPr>
          <w:rFonts w:hint="eastAsia" w:ascii="宋体" w:hAnsi="宋体" w:cs="宋体"/>
          <w:szCs w:val="21"/>
        </w:rPr>
        <w:t>规定的日期、时间和地点组织公开开标。开标时邀请所有投标人代表</w:t>
      </w:r>
      <w:r>
        <w:rPr>
          <w:rFonts w:hint="eastAsia" w:ascii="宋体" w:hAnsi="宋体" w:cs="宋体"/>
          <w:color w:val="auto"/>
          <w:szCs w:val="21"/>
        </w:rPr>
        <w:t>参加。参加开标的代表应签名报到以证明其出席。</w:t>
      </w:r>
    </w:p>
    <w:p w14:paraId="21A559D8">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1.2. </w:t>
      </w:r>
      <w:r>
        <w:rPr>
          <w:rFonts w:hint="eastAsia" w:ascii="宋体" w:hAnsi="宋体" w:cs="宋体"/>
          <w:szCs w:val="21"/>
        </w:rPr>
        <w:t>开标时，由</w:t>
      </w:r>
      <w:r>
        <w:rPr>
          <w:rFonts w:hint="eastAsia" w:ascii="宋体" w:hAnsi="宋体" w:cs="宋体"/>
          <w:szCs w:val="21"/>
          <w:lang w:val="en-US" w:eastAsia="zh-CN"/>
        </w:rPr>
        <w:t>采购人党委办公室工作人员</w:t>
      </w:r>
      <w:r>
        <w:rPr>
          <w:rFonts w:hint="eastAsia" w:ascii="宋体" w:hAnsi="宋体" w:cs="宋体"/>
          <w:szCs w:val="21"/>
        </w:rPr>
        <w:t>检查投标文件的密封情况；经确认无误后，由采购人工作人员当众拆封，宣布投标人名称、投标价格和</w:t>
      </w:r>
      <w:r>
        <w:rPr>
          <w:rFonts w:hint="eastAsia" w:ascii="宋体" w:hAnsi="宋体" w:cs="宋体"/>
          <w:szCs w:val="21"/>
          <w:lang w:eastAsia="zh-CN"/>
        </w:rPr>
        <w:t>征集</w:t>
      </w:r>
      <w:r>
        <w:rPr>
          <w:rFonts w:hint="eastAsia" w:ascii="宋体" w:hAnsi="宋体" w:cs="宋体"/>
          <w:szCs w:val="21"/>
        </w:rPr>
        <w:t>文件规定的需要宣布的其他内容。</w:t>
      </w:r>
    </w:p>
    <w:p w14:paraId="133E712D">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1.3. </w:t>
      </w:r>
      <w:r>
        <w:rPr>
          <w:rFonts w:hint="eastAsia" w:ascii="宋体" w:hAnsi="宋体" w:cs="宋体"/>
          <w:szCs w:val="21"/>
        </w:rPr>
        <w:t>投标人代表对开标过程和开标记录有疑义，以及认为采购人相关工作人员有需要回避的情形的，应当场提出询问或者回避申请。采购人对投标人代表提出的询问或者回避申请应当及时处理。</w:t>
      </w:r>
    </w:p>
    <w:p w14:paraId="7BB623E9">
      <w:pPr>
        <w:pStyle w:val="30"/>
        <w:widowControl/>
        <w:numPr>
          <w:ilvl w:val="0"/>
          <w:numId w:val="0"/>
        </w:numPr>
        <w:spacing w:line="360" w:lineRule="auto"/>
        <w:ind w:leftChars="0"/>
        <w:jc w:val="left"/>
        <w:outlineLvl w:val="9"/>
        <w:rPr>
          <w:rFonts w:hint="eastAsia" w:ascii="宋体" w:hAnsi="宋体" w:cs="宋体"/>
          <w:szCs w:val="21"/>
        </w:rPr>
      </w:pPr>
      <w:r>
        <w:rPr>
          <w:rFonts w:hint="eastAsia" w:ascii="宋体" w:hAnsi="宋体" w:cs="宋体"/>
          <w:szCs w:val="21"/>
          <w:lang w:val="en-US" w:eastAsia="zh-CN"/>
        </w:rPr>
        <w:t xml:space="preserve">1.4. </w:t>
      </w:r>
      <w:r>
        <w:rPr>
          <w:rFonts w:hint="eastAsia" w:ascii="宋体" w:hAnsi="宋体" w:cs="宋体"/>
          <w:szCs w:val="21"/>
        </w:rPr>
        <w:t>投标人未参加开标的，视同认可开标结果。</w:t>
      </w:r>
    </w:p>
    <w:p w14:paraId="15660E1E">
      <w:pPr>
        <w:pStyle w:val="30"/>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2E6567D7">
      <w:pPr>
        <w:pStyle w:val="30"/>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2.1. </w:t>
      </w:r>
      <w:r>
        <w:rPr>
          <w:rFonts w:hint="eastAsia" w:ascii="宋体" w:hAnsi="宋体" w:cs="宋体"/>
          <w:szCs w:val="21"/>
        </w:rPr>
        <w:t>评标委员会依法组建，由</w:t>
      </w:r>
      <w:r>
        <w:rPr>
          <w:rFonts w:hint="eastAsia" w:ascii="宋体" w:hAnsi="宋体" w:cs="宋体"/>
          <w:szCs w:val="21"/>
          <w:lang w:val="en-US" w:eastAsia="zh-CN"/>
        </w:rPr>
        <w:t>3</w:t>
      </w:r>
      <w:r>
        <w:rPr>
          <w:rFonts w:hint="eastAsia" w:ascii="宋体" w:hAnsi="宋体" w:cs="宋体"/>
          <w:szCs w:val="21"/>
        </w:rPr>
        <w:t>人</w:t>
      </w:r>
      <w:r>
        <w:rPr>
          <w:rFonts w:hint="eastAsia" w:ascii="宋体" w:hAnsi="宋体" w:cs="宋体"/>
          <w:szCs w:val="21"/>
          <w:lang w:val="en-US" w:eastAsia="zh-CN"/>
        </w:rPr>
        <w:t>或以上</w:t>
      </w:r>
      <w:r>
        <w:rPr>
          <w:rFonts w:hint="eastAsia" w:ascii="宋体" w:hAnsi="宋体" w:cs="宋体"/>
          <w:szCs w:val="21"/>
        </w:rPr>
        <w:t>单数组成。</w:t>
      </w:r>
    </w:p>
    <w:p w14:paraId="0B02EDB8">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2.2. </w:t>
      </w:r>
      <w:r>
        <w:rPr>
          <w:rFonts w:hint="eastAsia" w:ascii="宋体" w:hAnsi="宋体" w:cs="宋体"/>
          <w:szCs w:val="21"/>
        </w:rPr>
        <w:t>评标委员会成员名单在评标结果公告前应当保密。评审专家有下列情形之一的，受到邀请应主动提出回避，采购当事人也可以要求该评审专家回避：</w:t>
      </w:r>
    </w:p>
    <w:p w14:paraId="0BCE9C5D">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参加采购活动前3年内与供应商存在劳动关系；</w:t>
      </w:r>
    </w:p>
    <w:p w14:paraId="43CE5719">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参加采购活动前3年内担任供应商的董事、监事；</w:t>
      </w:r>
    </w:p>
    <w:p w14:paraId="7F277739">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参加采购活动前3年内是供应商的控股股东或者实际控制人；</w:t>
      </w:r>
    </w:p>
    <w:p w14:paraId="694E0B11">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与供应商的法定代表人或者负责人有夫妻、直系血亲、三代以内旁系血亲或者近姻亲关系；</w:t>
      </w:r>
    </w:p>
    <w:p w14:paraId="195BD121">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（5） </w:t>
      </w:r>
      <w:r>
        <w:rPr>
          <w:rFonts w:hint="eastAsia" w:ascii="宋体" w:hAnsi="宋体" w:cs="宋体"/>
          <w:szCs w:val="21"/>
        </w:rPr>
        <w:t>与供应商有其他可能影响采购活动公平、公正进行的关系。</w:t>
      </w:r>
    </w:p>
    <w:p w14:paraId="104D8C17">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2.3. </w:t>
      </w:r>
      <w:r>
        <w:rPr>
          <w:rFonts w:hint="eastAsia" w:ascii="宋体" w:hAnsi="宋体" w:cs="宋体"/>
          <w:szCs w:val="21"/>
        </w:rPr>
        <w:t>评标委员会和有关工作人员不得透露对投标文件的评审和比较以及与评标有关的其他情况。</w:t>
      </w:r>
    </w:p>
    <w:p w14:paraId="2AD29599">
      <w:pPr>
        <w:pStyle w:val="30"/>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2.4. </w:t>
      </w:r>
      <w:r>
        <w:rPr>
          <w:rFonts w:hint="eastAsia" w:ascii="宋体" w:hAnsi="宋体" w:cs="宋体"/>
          <w:szCs w:val="21"/>
        </w:rPr>
        <w:t>评标委员会负责具体评标事务，并独立履行下列职责：</w:t>
      </w:r>
    </w:p>
    <w:p w14:paraId="58C7F7CE">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审查、评价投标文件是否符合</w:t>
      </w:r>
      <w:r>
        <w:rPr>
          <w:rFonts w:hint="eastAsia" w:ascii="宋体" w:hAnsi="宋体" w:cs="宋体"/>
          <w:szCs w:val="21"/>
          <w:lang w:eastAsia="zh-CN"/>
        </w:rPr>
        <w:t>征集</w:t>
      </w:r>
      <w:r>
        <w:rPr>
          <w:rFonts w:hint="eastAsia" w:ascii="宋体" w:hAnsi="宋体" w:cs="宋体"/>
          <w:szCs w:val="21"/>
        </w:rPr>
        <w:t>文件的商务、技术等实质性要求；</w:t>
      </w:r>
    </w:p>
    <w:p w14:paraId="6AE4880F">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要求投标人对投标文件有关事项作出澄清或者说明；</w:t>
      </w:r>
    </w:p>
    <w:p w14:paraId="5E0BEDBE">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对投标文件进行比较和评价；</w:t>
      </w:r>
    </w:p>
    <w:p w14:paraId="7FFDA05D">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确定中标候选人名单；</w:t>
      </w:r>
    </w:p>
    <w:p w14:paraId="21A64378">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2.5. </w:t>
      </w:r>
      <w:r>
        <w:rPr>
          <w:rFonts w:hint="eastAsia" w:ascii="宋体" w:hAnsi="宋体" w:cs="宋体"/>
          <w:szCs w:val="21"/>
        </w:rPr>
        <w:t>对于投标文件中含义不明确、同类问题表述不一致或者有明显文字和计算错误的内容，评标委员会应当以书面形式要求投标人作出必要的澄清、说明或者补正。</w:t>
      </w:r>
    </w:p>
    <w:p w14:paraId="136A814D">
      <w:pPr>
        <w:pStyle w:val="30"/>
        <w:widowControl/>
        <w:numPr>
          <w:ilvl w:val="0"/>
          <w:numId w:val="0"/>
        </w:numPr>
        <w:spacing w:line="360" w:lineRule="auto"/>
        <w:ind w:leftChars="0"/>
        <w:jc w:val="left"/>
        <w:rPr>
          <w:rFonts w:ascii="宋体" w:hAnsi="宋体" w:cs="宋体"/>
          <w:szCs w:val="21"/>
          <w:lang w:eastAsia="zh-TW"/>
        </w:rPr>
      </w:pPr>
      <w:r>
        <w:rPr>
          <w:rFonts w:hint="eastAsia" w:ascii="宋体" w:hAnsi="宋体" w:cs="宋体"/>
          <w:szCs w:val="21"/>
          <w:lang w:val="en-US" w:eastAsia="zh-CN"/>
        </w:rPr>
        <w:t xml:space="preserve">2.6. </w:t>
      </w:r>
      <w:r>
        <w:rPr>
          <w:rFonts w:hint="eastAsia" w:ascii="宋体" w:hAnsi="宋体" w:cs="宋体"/>
          <w:szCs w:val="21"/>
        </w:rPr>
        <w:t>投标人的澄清、说明或者补正应当采用书面形式，并加盖公章，或者由法定代表人或其授权的代表签字。投标人的澄清、说明或者补正不得超出投标文件的范围或者改变投标文件的实质性内容。</w:t>
      </w:r>
      <w:r>
        <w:rPr>
          <w:rFonts w:hint="eastAsia" w:ascii="宋体" w:hAnsi="宋体" w:cs="宋体"/>
          <w:szCs w:val="21"/>
          <w:lang w:eastAsia="zh-TW"/>
        </w:rPr>
        <w:t>投标人的澄清文件是其投标文件的组成部分。</w:t>
      </w:r>
    </w:p>
    <w:p w14:paraId="0B149526">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2.7. </w:t>
      </w:r>
      <w:r>
        <w:rPr>
          <w:rFonts w:hint="eastAsia" w:ascii="宋体" w:hAnsi="宋体" w:cs="宋体"/>
          <w:szCs w:val="21"/>
          <w:lang w:eastAsia="zh-TW"/>
        </w:rPr>
        <w:t>评标</w:t>
      </w:r>
      <w:r>
        <w:t>委员会决定投标的响应性只根据投标文件中提供的材料内容，而不依据外部的材料证据</w:t>
      </w:r>
      <w:r>
        <w:rPr>
          <w:rFonts w:hint="eastAsia" w:ascii="宋体" w:hAnsi="宋体" w:cs="宋体"/>
          <w:szCs w:val="21"/>
        </w:rPr>
        <w:t>。</w:t>
      </w:r>
    </w:p>
    <w:p w14:paraId="7466D833">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2.8. </w:t>
      </w:r>
      <w:r>
        <w:rPr>
          <w:rFonts w:hint="eastAsia" w:ascii="宋体" w:hAnsi="宋体" w:cs="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354F3237">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2.9. </w:t>
      </w:r>
      <w:r>
        <w:rPr>
          <w:rFonts w:hint="eastAsia" w:ascii="宋体" w:hAnsi="宋体" w:cs="宋体"/>
          <w:szCs w:val="21"/>
        </w:rPr>
        <w:t>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0"/>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4FF5934B">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3.1. </w:t>
      </w:r>
      <w:r>
        <w:rPr>
          <w:rFonts w:hint="eastAsia" w:ascii="宋体" w:hAnsi="宋体" w:cs="宋体"/>
          <w:szCs w:val="21"/>
        </w:rPr>
        <w:t>投标文件初审包括资格性检查和符合性检查。资格性检查：依据法律法规和</w:t>
      </w:r>
      <w:r>
        <w:rPr>
          <w:rFonts w:hint="eastAsia" w:ascii="宋体" w:hAnsi="宋体" w:cs="宋体"/>
          <w:szCs w:val="21"/>
          <w:lang w:eastAsia="zh-CN"/>
        </w:rPr>
        <w:t>征集</w:t>
      </w:r>
      <w:r>
        <w:rPr>
          <w:rFonts w:hint="eastAsia" w:ascii="宋体" w:hAnsi="宋体" w:cs="宋体"/>
          <w:szCs w:val="21"/>
        </w:rPr>
        <w:t>文件的规定，对投标文件中的资格证明等进行审查，以确定投标供应商是否具备投标资格。符合性检查：依据</w:t>
      </w:r>
      <w:r>
        <w:rPr>
          <w:rFonts w:hint="eastAsia" w:ascii="宋体" w:hAnsi="宋体" w:cs="宋体"/>
          <w:szCs w:val="21"/>
          <w:lang w:eastAsia="zh-CN"/>
        </w:rPr>
        <w:t>征集</w:t>
      </w:r>
      <w:r>
        <w:rPr>
          <w:rFonts w:hint="eastAsia" w:ascii="宋体" w:hAnsi="宋体" w:cs="宋体"/>
          <w:szCs w:val="21"/>
        </w:rPr>
        <w:t>文件的规定，从投标文件的有效性、完整性和对</w:t>
      </w:r>
      <w:r>
        <w:rPr>
          <w:rFonts w:hint="eastAsia" w:ascii="宋体" w:hAnsi="宋体" w:cs="宋体"/>
          <w:szCs w:val="21"/>
          <w:lang w:eastAsia="zh-CN"/>
        </w:rPr>
        <w:t>征集</w:t>
      </w:r>
      <w:r>
        <w:rPr>
          <w:rFonts w:hint="eastAsia" w:ascii="宋体" w:hAnsi="宋体" w:cs="宋体"/>
          <w:szCs w:val="21"/>
        </w:rPr>
        <w:t>文件的响应程度进行审查，以确定是否对</w:t>
      </w:r>
      <w:r>
        <w:rPr>
          <w:rFonts w:hint="eastAsia" w:ascii="宋体" w:hAnsi="宋体" w:cs="宋体"/>
          <w:szCs w:val="21"/>
          <w:lang w:eastAsia="zh-CN"/>
        </w:rPr>
        <w:t>征集</w:t>
      </w:r>
      <w:r>
        <w:rPr>
          <w:rFonts w:hint="eastAsia" w:ascii="宋体" w:hAnsi="宋体" w:cs="宋体"/>
          <w:szCs w:val="21"/>
        </w:rPr>
        <w:t>文件的实质性要求作出响应。</w:t>
      </w:r>
    </w:p>
    <w:p w14:paraId="5F6A3FC9">
      <w:pPr>
        <w:pStyle w:val="30"/>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3.2. </w:t>
      </w:r>
      <w:r>
        <w:rPr>
          <w:rFonts w:hint="eastAsia" w:ascii="宋体" w:hAnsi="宋体" w:cs="宋体"/>
          <w:szCs w:val="21"/>
        </w:rPr>
        <w:t>投标文件初审中关于供应商家数的计算:</w:t>
      </w:r>
    </w:p>
    <w:p w14:paraId="1A11FC07">
      <w:pPr>
        <w:pStyle w:val="30"/>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采用最低价法的采购项目，提供相同品牌产品的不同投标人参加同一合同项下投标的，以其中通过资格审查、符合性审查且报价最低的参加评标；报价相同的，由采购人或者采购人委托</w:t>
      </w:r>
      <w:r>
        <w:rPr>
          <w:rFonts w:hint="eastAsia" w:ascii="宋体" w:hAnsi="宋体" w:cs="宋体"/>
          <w:szCs w:val="21"/>
          <w:lang w:eastAsia="zh-CN"/>
        </w:rPr>
        <w:t>评标委员会</w:t>
      </w:r>
      <w:r>
        <w:rPr>
          <w:rFonts w:hint="eastAsia" w:ascii="宋体" w:hAnsi="宋体" w:cs="宋体"/>
          <w:szCs w:val="21"/>
        </w:rPr>
        <w:t>按照</w:t>
      </w:r>
      <w:r>
        <w:rPr>
          <w:rFonts w:hint="eastAsia" w:ascii="宋体" w:hAnsi="宋体" w:cs="宋体"/>
          <w:szCs w:val="21"/>
          <w:lang w:eastAsia="zh-CN"/>
        </w:rPr>
        <w:t>征集</w:t>
      </w:r>
      <w:r>
        <w:rPr>
          <w:rFonts w:hint="eastAsia" w:ascii="宋体" w:hAnsi="宋体" w:cs="宋体"/>
          <w:szCs w:val="21"/>
        </w:rPr>
        <w:t>文件规定的方式确定一个参加评审的投标人，</w:t>
      </w:r>
      <w:r>
        <w:rPr>
          <w:rFonts w:hint="eastAsia" w:ascii="宋体" w:hAnsi="宋体" w:cs="宋体"/>
          <w:szCs w:val="21"/>
          <w:lang w:eastAsia="zh-CN"/>
        </w:rPr>
        <w:t>征集</w:t>
      </w:r>
      <w:r>
        <w:rPr>
          <w:rFonts w:hint="eastAsia" w:ascii="宋体" w:hAnsi="宋体" w:cs="宋体"/>
          <w:szCs w:val="21"/>
        </w:rPr>
        <w:t>文件未规定的采取随机抽取方式确定，其他投标无效。</w:t>
      </w:r>
    </w:p>
    <w:p w14:paraId="1A11F764">
      <w:pPr>
        <w:pStyle w:val="30"/>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cs="宋体"/>
          <w:szCs w:val="21"/>
          <w:lang w:eastAsia="zh-CN"/>
        </w:rPr>
        <w:t>评标委员会</w:t>
      </w:r>
      <w:r>
        <w:rPr>
          <w:rFonts w:hint="eastAsia" w:ascii="宋体" w:hAnsi="宋体" w:cs="宋体"/>
          <w:szCs w:val="21"/>
        </w:rPr>
        <w:t>按照</w:t>
      </w:r>
      <w:r>
        <w:rPr>
          <w:rFonts w:hint="eastAsia" w:ascii="宋体" w:hAnsi="宋体" w:cs="宋体"/>
          <w:szCs w:val="21"/>
          <w:lang w:eastAsia="zh-CN"/>
        </w:rPr>
        <w:t>征集</w:t>
      </w:r>
      <w:r>
        <w:rPr>
          <w:rFonts w:hint="eastAsia" w:ascii="宋体" w:hAnsi="宋体" w:cs="宋体"/>
          <w:szCs w:val="21"/>
        </w:rPr>
        <w:t>文件规定的方式确定一个投标人获得中标人推荐资格，</w:t>
      </w:r>
      <w:r>
        <w:rPr>
          <w:rFonts w:hint="eastAsia" w:ascii="宋体" w:hAnsi="宋体" w:cs="宋体"/>
          <w:szCs w:val="21"/>
          <w:lang w:eastAsia="zh-CN"/>
        </w:rPr>
        <w:t>征集</w:t>
      </w:r>
      <w:r>
        <w:rPr>
          <w:rFonts w:hint="eastAsia" w:ascii="宋体" w:hAnsi="宋体" w:cs="宋体"/>
          <w:szCs w:val="21"/>
        </w:rPr>
        <w:t>文件未规定的采取随机抽取方式确定，其他同品牌投标人不作为中标候选人。</w:t>
      </w:r>
    </w:p>
    <w:p w14:paraId="67110D92">
      <w:pPr>
        <w:snapToGrid w:val="0"/>
        <w:spacing w:line="360" w:lineRule="auto"/>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eastAsiaTheme="minorEastAsia"/>
          <w:kern w:val="2"/>
          <w:sz w:val="21"/>
          <w:szCs w:val="21"/>
          <w:lang w:val="en-US" w:eastAsia="zh-CN" w:bidi="ar-SA"/>
        </w:rPr>
        <w:t>非单一产品采购项目，采购人应当根据采购项目技术构成、产品价格比重等合理确定核心产品，并在</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文件中载明。多家投标人提供的核心产品品牌相同的，按前两款规定处理。</w:t>
      </w:r>
    </w:p>
    <w:p w14:paraId="43B1EC83">
      <w:pPr>
        <w:pStyle w:val="30"/>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4EFCC9BF">
      <w:pPr>
        <w:pStyle w:val="30"/>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41233814">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4.1.1 </w:t>
      </w:r>
      <w:r>
        <w:rPr>
          <w:rFonts w:hint="eastAsia" w:ascii="宋体" w:hAnsi="宋体" w:cs="宋体" w:eastAsiaTheme="minorEastAsia"/>
          <w:kern w:val="2"/>
          <w:sz w:val="21"/>
          <w:szCs w:val="21"/>
          <w:lang w:val="en-US" w:eastAsia="zh-CN" w:bidi="ar-SA"/>
        </w:rPr>
        <w:t>最低价法，是指完全满足</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文件实质性要求，按照报价由低到高的顺序，依据</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文件中规定的数量或者比例推荐候选中标供应商。</w:t>
      </w:r>
    </w:p>
    <w:p w14:paraId="5D19274F">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4.1.2. </w:t>
      </w:r>
      <w:r>
        <w:rPr>
          <w:rFonts w:hint="eastAsia" w:ascii="宋体" w:hAnsi="宋体" w:cs="宋体" w:eastAsiaTheme="minorEastAsia"/>
          <w:kern w:val="2"/>
          <w:sz w:val="21"/>
          <w:szCs w:val="21"/>
          <w:lang w:val="en-US" w:eastAsia="zh-CN" w:bidi="ar-SA"/>
        </w:rPr>
        <w:t>综合评分法，是指在满足</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文件全部实质性要求的前提下，按照</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文件中规定的各项因素进行综合评审，评审总得分排名前列的投标人，作为推荐的候选中标供应商。</w:t>
      </w:r>
    </w:p>
    <w:p w14:paraId="582C407C">
      <w:pPr>
        <w:numPr>
          <w:ilvl w:val="0"/>
          <w:numId w:val="0"/>
        </w:numPr>
        <w:snapToGrid w:val="0"/>
        <w:spacing w:line="360" w:lineRule="auto"/>
        <w:ind w:leftChars="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4.2. </w:t>
      </w:r>
      <w:r>
        <w:rPr>
          <w:rFonts w:hint="eastAsia" w:ascii="宋体" w:hAnsi="宋体" w:cs="宋体" w:eastAsiaTheme="minorEastAsia"/>
          <w:kern w:val="2"/>
          <w:sz w:val="21"/>
          <w:szCs w:val="21"/>
          <w:lang w:val="en-US" w:eastAsia="zh-CN" w:bidi="ar-SA"/>
        </w:rPr>
        <w:t>重新评审的情形</w:t>
      </w:r>
      <w:r>
        <w:rPr>
          <w:rFonts w:hint="eastAsia" w:ascii="宋体" w:hAnsi="宋体" w:cs="宋体"/>
          <w:kern w:val="2"/>
          <w:sz w:val="21"/>
          <w:szCs w:val="21"/>
          <w:lang w:val="en-US" w:eastAsia="zh-CN" w:bidi="ar-SA"/>
        </w:rPr>
        <w:t>：</w:t>
      </w:r>
    </w:p>
    <w:p w14:paraId="4C8518A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（1） </w:t>
      </w:r>
      <w:r>
        <w:rPr>
          <w:rFonts w:hint="eastAsia" w:ascii="宋体" w:hAnsi="宋体" w:cs="宋体" w:eastAsiaTheme="minorEastAsia"/>
          <w:kern w:val="2"/>
          <w:sz w:val="21"/>
          <w:szCs w:val="21"/>
          <w:lang w:val="en-US" w:eastAsia="zh-CN" w:bidi="ar-SA"/>
        </w:rPr>
        <w:t>分值汇总计算错误的；</w:t>
      </w:r>
    </w:p>
    <w:p w14:paraId="29107180">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（2） </w:t>
      </w:r>
      <w:r>
        <w:rPr>
          <w:rFonts w:hint="eastAsia" w:ascii="宋体" w:hAnsi="宋体" w:cs="宋体" w:eastAsiaTheme="minorEastAsia"/>
          <w:kern w:val="2"/>
          <w:sz w:val="21"/>
          <w:szCs w:val="21"/>
          <w:lang w:val="en-US" w:eastAsia="zh-CN" w:bidi="ar-SA"/>
        </w:rPr>
        <w:t>分项评分超出评分标准范围的；</w:t>
      </w:r>
    </w:p>
    <w:p w14:paraId="76DF0E5E">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（3） 评标委员会</w:t>
      </w:r>
      <w:r>
        <w:rPr>
          <w:rFonts w:hint="eastAsia" w:ascii="宋体" w:hAnsi="宋体" w:cs="宋体" w:eastAsiaTheme="minorEastAsia"/>
          <w:kern w:val="2"/>
          <w:sz w:val="21"/>
          <w:szCs w:val="21"/>
          <w:lang w:val="en-US" w:eastAsia="zh-CN" w:bidi="ar-SA"/>
        </w:rPr>
        <w:t>成员对客观评审因素评分不一致的；</w:t>
      </w:r>
    </w:p>
    <w:p w14:paraId="6637284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 </w:t>
      </w:r>
      <w:r>
        <w:rPr>
          <w:rFonts w:hint="eastAsia" w:ascii="宋体" w:hAnsi="宋体" w:cs="宋体" w:eastAsiaTheme="minorEastAsia"/>
          <w:kern w:val="2"/>
          <w:sz w:val="21"/>
          <w:szCs w:val="21"/>
          <w:lang w:val="en-US" w:eastAsia="zh-CN" w:bidi="ar-SA"/>
        </w:rPr>
        <w:t>经</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认定评分畸高、畸低的。</w:t>
      </w:r>
    </w:p>
    <w:p w14:paraId="6D12116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4.3. 评标报告</w:t>
      </w:r>
      <w:r>
        <w:rPr>
          <w:rFonts w:hint="eastAsia" w:ascii="宋体" w:hAnsi="宋体" w:cs="宋体" w:eastAsiaTheme="minorEastAsia"/>
          <w:kern w:val="2"/>
          <w:sz w:val="21"/>
          <w:szCs w:val="21"/>
          <w:lang w:val="en-US" w:eastAsia="zh-CN" w:bidi="ar-SA"/>
        </w:rPr>
        <w:t>签署前，经复核发现存在以上情形之一的，</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应当当场修改评审结果，并进行书面记载；</w:t>
      </w:r>
      <w:r>
        <w:rPr>
          <w:rFonts w:hint="eastAsia" w:ascii="宋体" w:hAnsi="宋体" w:cs="宋体"/>
          <w:kern w:val="2"/>
          <w:sz w:val="21"/>
          <w:szCs w:val="21"/>
          <w:lang w:val="en-US" w:eastAsia="zh-CN" w:bidi="ar-SA"/>
        </w:rPr>
        <w:t>评标报告</w:t>
      </w:r>
      <w:r>
        <w:rPr>
          <w:rFonts w:hint="eastAsia" w:ascii="宋体" w:hAnsi="宋体" w:cs="宋体" w:eastAsiaTheme="minorEastAsia"/>
          <w:kern w:val="2"/>
          <w:sz w:val="21"/>
          <w:szCs w:val="21"/>
          <w:lang w:val="en-US" w:eastAsia="zh-CN" w:bidi="ar-SA"/>
        </w:rPr>
        <w:t>签署后，采购人发现存在以上情形之一的，应当组织原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进行重新评审，重新评审改变评审结果的，书面报告采购人的采购主管部门。</w:t>
      </w:r>
    </w:p>
    <w:p w14:paraId="0A27FC8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4.4. </w:t>
      </w:r>
      <w:r>
        <w:rPr>
          <w:rFonts w:hint="eastAsia" w:ascii="宋体" w:hAnsi="宋体" w:cs="宋体" w:eastAsiaTheme="minorEastAsia"/>
          <w:kern w:val="2"/>
          <w:sz w:val="21"/>
          <w:szCs w:val="21"/>
          <w:lang w:val="en-US" w:eastAsia="zh-CN" w:bidi="ar-SA"/>
        </w:rPr>
        <w:t>投标人对本条第一款情形提出质疑的，采购人可以组织原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进行重新评审，重新评审改变评审结果的，应当书面报告采购人的采购主管部门。</w:t>
      </w:r>
    </w:p>
    <w:p w14:paraId="70185EF8">
      <w:pPr>
        <w:pStyle w:val="27"/>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6BD4B064">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w:t>
      </w:r>
      <w:r>
        <w:rPr>
          <w:rFonts w:hint="eastAsia" w:ascii="宋体" w:hAnsi="宋体" w:eastAsiaTheme="minorEastAsia" w:cstheme="minorBidi"/>
          <w:color w:val="auto"/>
          <w:kern w:val="2"/>
          <w:sz w:val="21"/>
          <w:szCs w:val="21"/>
          <w:lang w:val="en-US" w:eastAsia="zh-CN" w:bidi="ar-SA"/>
        </w:rPr>
        <w:t>委员会按</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文件中规定的评标方法和标准，对资格性检查和符合性检查合格且报价不超过预算控制金额的投标文件进行商务和技术评审，综合比较与评价。</w:t>
      </w:r>
    </w:p>
    <w:p w14:paraId="52D57BC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5.2. </w:t>
      </w:r>
      <w:r>
        <w:rPr>
          <w:rFonts w:hint="eastAsia" w:ascii="宋体" w:hAnsi="宋体" w:eastAsiaTheme="minorEastAsia" w:cstheme="minorBidi"/>
          <w:color w:val="auto"/>
          <w:kern w:val="2"/>
          <w:sz w:val="21"/>
          <w:szCs w:val="21"/>
          <w:lang w:val="en-US" w:eastAsia="zh-CN" w:bidi="ar-SA"/>
        </w:rPr>
        <w:t>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委员会成员对需要共同认定的事项存在争议的，应当按照少数服从多数的原则作出结论。持不同意见的评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委员会成员应当书面作出说明，否则视为无异议。</w:t>
      </w:r>
    </w:p>
    <w:p w14:paraId="699B21F8">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5.3. </w:t>
      </w:r>
      <w:r>
        <w:rPr>
          <w:rFonts w:hint="eastAsia" w:ascii="宋体" w:hAnsi="宋体" w:eastAsiaTheme="minorEastAsia" w:cstheme="minorBidi"/>
          <w:color w:val="auto"/>
          <w:kern w:val="2"/>
          <w:sz w:val="21"/>
          <w:szCs w:val="21"/>
          <w:lang w:val="en-US" w:eastAsia="zh-CN" w:bidi="ar-SA"/>
        </w:rPr>
        <w:t>在评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过程中，评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委员会有权决定是否对本项目投标人进行实地考察或资料查验（原件）。投标人应随时做好接受实地考察或资料查验的准备。</w:t>
      </w:r>
    </w:p>
    <w:p w14:paraId="792D8501">
      <w:pPr>
        <w:pStyle w:val="27"/>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5.4. </w:t>
      </w:r>
      <w:r>
        <w:rPr>
          <w:rFonts w:hint="eastAsia" w:ascii="宋体" w:hAnsi="宋体"/>
          <w:szCs w:val="21"/>
        </w:rPr>
        <w:t>按照评标报告中推荐的中标候选人确定中标人，确认后将在刊登本项目</w:t>
      </w:r>
      <w:r>
        <w:rPr>
          <w:rFonts w:hint="eastAsia" w:ascii="宋体" w:hAnsi="宋体"/>
          <w:szCs w:val="21"/>
          <w:lang w:eastAsia="zh-CN"/>
        </w:rPr>
        <w:t>征集</w:t>
      </w:r>
      <w:r>
        <w:rPr>
          <w:rFonts w:hint="eastAsia" w:ascii="宋体" w:hAnsi="宋体"/>
          <w:szCs w:val="21"/>
        </w:rPr>
        <w:t>公告的法定媒体上</w:t>
      </w:r>
      <w:r>
        <w:rPr>
          <w:rFonts w:ascii="宋体" w:hAnsi="宋体"/>
          <w:szCs w:val="21"/>
        </w:rPr>
        <w:t>发</w:t>
      </w:r>
      <w:r>
        <w:rPr>
          <w:rFonts w:hint="eastAsia" w:ascii="宋体" w:hAnsi="宋体"/>
          <w:szCs w:val="21"/>
        </w:rPr>
        <w:t>布中标公告。</w:t>
      </w:r>
    </w:p>
    <w:p w14:paraId="5056C576">
      <w:pPr>
        <w:pStyle w:val="27"/>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5.5. </w:t>
      </w:r>
      <w:r>
        <w:rPr>
          <w:rFonts w:hint="eastAsia" w:ascii="宋体" w:hAnsi="宋体"/>
          <w:szCs w:val="21"/>
        </w:rPr>
        <w:t>中标人拒绝与采购人签订合同的，可以重新开展政府采购活动。</w:t>
      </w:r>
    </w:p>
    <w:p w14:paraId="09C6C2D6">
      <w:pPr>
        <w:pStyle w:val="30"/>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4D21273">
      <w:pPr>
        <w:pStyle w:val="30"/>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E462EC4">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78BE7952">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541EA1E8">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231FD2F3">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51A024FF">
      <w:pPr>
        <w:pStyle w:val="30"/>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5823CF4D">
      <w:pPr>
        <w:pStyle w:val="30"/>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3B61DA4">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征集</w:t>
      </w:r>
      <w:r>
        <w:rPr>
          <w:rFonts w:hint="eastAsia" w:ascii="宋体" w:hAnsi="宋体"/>
          <w:szCs w:val="21"/>
        </w:rPr>
        <w:t>文件要求签署、盖章的；</w:t>
      </w:r>
    </w:p>
    <w:p w14:paraId="6450B8AF">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征集</w:t>
      </w:r>
      <w:r>
        <w:rPr>
          <w:rFonts w:hint="eastAsia" w:ascii="宋体" w:hAnsi="宋体"/>
          <w:szCs w:val="21"/>
        </w:rPr>
        <w:t>文件中规定的资格要求的；</w:t>
      </w:r>
    </w:p>
    <w:p w14:paraId="597D92E1">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征集</w:t>
      </w:r>
      <w:r>
        <w:rPr>
          <w:rFonts w:hint="eastAsia" w:ascii="宋体" w:hAnsi="宋体"/>
          <w:szCs w:val="21"/>
        </w:rPr>
        <w:t>文件中规定的预算金额或者最高限价的；</w:t>
      </w:r>
    </w:p>
    <w:p w14:paraId="02B07588">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0"/>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征集</w:t>
      </w:r>
      <w:r>
        <w:rPr>
          <w:rFonts w:hint="eastAsia" w:ascii="宋体" w:hAnsi="宋体"/>
          <w:szCs w:val="21"/>
        </w:rPr>
        <w:t>文件规定的其他无效情形。</w:t>
      </w:r>
    </w:p>
    <w:p w14:paraId="12DCD88F">
      <w:pPr>
        <w:pStyle w:val="30"/>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w:t>
      </w:r>
      <w:r>
        <w:rPr>
          <w:rFonts w:hint="eastAsia" w:ascii="宋体" w:hAnsi="宋体"/>
          <w:szCs w:val="21"/>
          <w:lang w:eastAsia="zh-CN"/>
        </w:rPr>
        <w:t>征集</w:t>
      </w:r>
      <w:r>
        <w:rPr>
          <w:rFonts w:ascii="宋体" w:hAnsi="宋体"/>
          <w:szCs w:val="21"/>
        </w:rPr>
        <w:t>采购中，出现下列情形之一的，应予废标</w:t>
      </w:r>
      <w:r>
        <w:rPr>
          <w:rFonts w:hint="eastAsia" w:ascii="宋体" w:hAnsi="宋体"/>
          <w:szCs w:val="21"/>
          <w:lang w:eastAsia="zh-CN"/>
        </w:rPr>
        <w:t>：</w:t>
      </w:r>
    </w:p>
    <w:p w14:paraId="3AFC5530">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征集</w:t>
      </w:r>
      <w:r>
        <w:rPr>
          <w:rFonts w:ascii="宋体" w:hAnsi="宋体"/>
          <w:szCs w:val="21"/>
        </w:rPr>
        <w:t>文件作实质响应的供应商不足三家的；</w:t>
      </w:r>
    </w:p>
    <w:p w14:paraId="495F6BE3">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667992D1">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6CE66FC1">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18F78CE6">
      <w:pPr>
        <w:pStyle w:val="30"/>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7C7305CE">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 本项目公开征集过程中若出现投标截止后实际递交投标文件的供应商数量不足、经评审委员会评审对征集文件作实质响应的供应商不足等情况，公开征集有效供应商不足两家的（有效供应商不少于两家的，可按照征集文件评审规则继续评审），项目根据以下情况开展：</w:t>
      </w:r>
    </w:p>
    <w:p w14:paraId="6881453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 公开征集失败的处理：</w:t>
      </w:r>
    </w:p>
    <w:p w14:paraId="658402E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7.1.1.1. 采购人可结合实际需要，重新实施公开征集，或依据有效投标供应商数量转为单一来源采购（仅1家有效供应商）。</w:t>
      </w:r>
    </w:p>
    <w:p w14:paraId="3B8F20F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7.1.1.2. 对公开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失败的项目，评标委员会在出具该项目</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失败结论的同时，可以提出重新采购组织形式的建议，以及进一步完善</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文件的资格、技术、商务要求的修改建议。</w:t>
      </w:r>
    </w:p>
    <w:p w14:paraId="72B715AC">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7.1.2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失败的采购项目重新组织公开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的，需要重新按公开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流程发布</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公告和</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文件、组成评标委员会等组织采购活动。</w:t>
      </w:r>
    </w:p>
    <w:p w14:paraId="5698CCEC">
      <w:pPr>
        <w:pStyle w:val="27"/>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w:t>
      </w:r>
    </w:p>
    <w:p w14:paraId="05051A21">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失败项目转为单一来源谈判方式采购后，评标委员会转为谈判小组，谈判小组成员由有关专家共3人以上（含3人）的单数组成；专家可重新抽取也可继续采用评标委员会内专家。</w:t>
      </w:r>
    </w:p>
    <w:p w14:paraId="5558F869">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文件中投标文件初审表的《资格性检查表》部分以及谈判邀请中相应的变动部分。</w:t>
      </w:r>
    </w:p>
    <w:p w14:paraId="4312D3DB">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.3. 参加谈判的供应商和谈判小组成员填写谈判登记表，并交验证明文件（法定代表人证明书、法人授权委托书、被授权的谈判代表身份证原件）。</w:t>
      </w:r>
    </w:p>
    <w:p w14:paraId="22E1B5AE">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.4. 在谈判中，谈判小组将就以下谈判内容跟供应商进行谈判：</w:t>
      </w:r>
    </w:p>
    <w:p w14:paraId="16DCA70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（1）项目方案；（2）报价；（3）其它相关事项。</w:t>
      </w:r>
    </w:p>
    <w:p w14:paraId="0C57E8B1">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文件或谈判邀请文件有实质性变动的，谈判小组应当通知供应商。</w:t>
      </w:r>
    </w:p>
    <w:p w14:paraId="6B2387FA">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0009A3AC">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.6. 允许供应商在谈判结束之前根据谈判小组提出的内容进行澄清、修改或完善，或对项目方案进行相应的调整。</w:t>
      </w:r>
    </w:p>
    <w:p w14:paraId="44FAC3A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.7. 供应商对谈判应答文件进行修改，都应形成文字材料，并经供应商谈判授权人签字认可。</w:t>
      </w:r>
    </w:p>
    <w:p w14:paraId="79BAFCF4">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.8. 谈判小组与单一来源供应商进行谈判。供应商有两次更改机会；供应商应在规定的时间内提出最后更改及书面承诺。</w:t>
      </w:r>
    </w:p>
    <w:p w14:paraId="4C3CFC7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.9. 有下列情形之一的，供应商的谈判结果作废标处理，具体内容见原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文件中投标文件初审表的《符合性检查表》部分以及谈判邀请中相应的变动部分。</w:t>
      </w:r>
    </w:p>
    <w:p w14:paraId="30D31921">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4E726B6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.11. 谈判小组将对谈判过程进行记录，以存档备查。</w:t>
      </w:r>
    </w:p>
    <w:p w14:paraId="7B74605B">
      <w:pPr>
        <w:pStyle w:val="27"/>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.12. 单一来源谈判采用最低价法。原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文件若采用最低价法以外的评标方法，转为单一来源后，评标方法改为最低价法。谈判小组对谈判应答文件进行评审和比较，对供应商最终的方案、服务和投资等谈判结果按最低价法进行评审。</w:t>
      </w:r>
    </w:p>
    <w:p w14:paraId="09AD85D9">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3</w:t>
      </w:r>
      <w:r>
        <w:rPr>
          <w:rFonts w:hint="eastAsia" w:ascii="宋体" w:hAnsi="宋体" w:eastAsiaTheme="minorEastAsia" w:cstheme="minorBidi"/>
          <w:color w:val="auto"/>
          <w:kern w:val="2"/>
          <w:sz w:val="21"/>
          <w:szCs w:val="21"/>
          <w:lang w:val="en-US" w:eastAsia="zh-CN" w:bidi="ar-SA"/>
        </w:rPr>
        <w:t>. 该项目中标候选供应商数量为</w:t>
      </w:r>
      <w:r>
        <w:rPr>
          <w:rFonts w:hint="eastAsia" w:ascii="宋体" w:hAnsi="宋体" w:cstheme="minorBidi"/>
          <w:color w:val="auto"/>
          <w:kern w:val="2"/>
          <w:sz w:val="21"/>
          <w:szCs w:val="21"/>
          <w:lang w:val="en-US" w:eastAsia="zh-CN" w:bidi="ar-SA"/>
        </w:rPr>
        <w:t>两家（有两家有效供应商时）或</w:t>
      </w:r>
      <w:r>
        <w:rPr>
          <w:rFonts w:hint="eastAsia" w:ascii="宋体" w:hAnsi="宋体" w:eastAsiaTheme="minorEastAsia" w:cstheme="minorBidi"/>
          <w:color w:val="auto"/>
          <w:kern w:val="2"/>
          <w:sz w:val="21"/>
          <w:szCs w:val="21"/>
          <w:lang w:val="en-US" w:eastAsia="zh-CN" w:bidi="ar-SA"/>
        </w:rPr>
        <w:t>三家</w:t>
      </w:r>
      <w:r>
        <w:rPr>
          <w:rFonts w:hint="eastAsia" w:ascii="宋体" w:hAnsi="宋体" w:cstheme="minorBidi"/>
          <w:color w:val="auto"/>
          <w:kern w:val="2"/>
          <w:sz w:val="21"/>
          <w:szCs w:val="21"/>
          <w:lang w:val="en-US" w:eastAsia="zh-CN" w:bidi="ar-SA"/>
        </w:rPr>
        <w:t>（有三家及以上有效供应商）</w:t>
      </w:r>
      <w:r>
        <w:rPr>
          <w:rFonts w:hint="eastAsia" w:ascii="宋体" w:hAnsi="宋体" w:eastAsiaTheme="minorEastAsia" w:cstheme="minorBidi"/>
          <w:color w:val="auto"/>
          <w:kern w:val="2"/>
          <w:sz w:val="21"/>
          <w:szCs w:val="21"/>
          <w:lang w:val="en-US" w:eastAsia="zh-CN" w:bidi="ar-SA"/>
        </w:rPr>
        <w:t>。</w:t>
      </w:r>
    </w:p>
    <w:p w14:paraId="08F66036">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4</w:t>
      </w:r>
      <w:r>
        <w:rPr>
          <w:rFonts w:hint="eastAsia" w:ascii="宋体" w:hAnsi="宋体" w:eastAsiaTheme="minorEastAsia" w:cstheme="minorBidi"/>
          <w:color w:val="auto"/>
          <w:kern w:val="2"/>
          <w:sz w:val="21"/>
          <w:szCs w:val="21"/>
          <w:lang w:val="en-US" w:eastAsia="zh-CN" w:bidi="ar-SA"/>
        </w:rPr>
        <w:t>. 评标委员会推荐排名第一的投标人为第一候选中标供应商，排名第二的投标人为第二候选中标供应商，排名第三的投标人为第三候选中标供应商。中标供应商放弃中标资格的或中标资格被依法确认无效的，因情况紧急，重新组织采购不能满足采购人要求时，可依法从其他候选中标供应商中确定替补中标供应商。</w:t>
      </w:r>
    </w:p>
    <w:p w14:paraId="54B4AF3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5</w:t>
      </w:r>
      <w:r>
        <w:rPr>
          <w:rFonts w:hint="eastAsia" w:ascii="宋体" w:hAnsi="宋体" w:eastAsiaTheme="minorEastAsia" w:cstheme="minorBidi"/>
          <w:color w:val="auto"/>
          <w:kern w:val="2"/>
          <w:sz w:val="21"/>
          <w:szCs w:val="21"/>
          <w:lang w:val="en-US" w:eastAsia="zh-CN" w:bidi="ar-SA"/>
        </w:rPr>
        <w:t>. 本项目不安排现场踏勘</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不安排现场演示。</w:t>
      </w:r>
    </w:p>
    <w:p w14:paraId="26CC7918">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6</w:t>
      </w:r>
      <w:r>
        <w:rPr>
          <w:rFonts w:hint="eastAsia" w:ascii="宋体" w:hAnsi="宋体" w:eastAsiaTheme="minorEastAsia" w:cstheme="minorBidi"/>
          <w:color w:val="auto"/>
          <w:kern w:val="2"/>
          <w:sz w:val="21"/>
          <w:szCs w:val="21"/>
          <w:lang w:val="en-US" w:eastAsia="zh-CN" w:bidi="ar-SA"/>
        </w:rPr>
        <w:t>. 本项目资金来源为自筹资金。</w:t>
      </w:r>
    </w:p>
    <w:p w14:paraId="1146D06E">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7</w:t>
      </w:r>
      <w:r>
        <w:rPr>
          <w:rFonts w:hint="eastAsia" w:ascii="宋体" w:hAnsi="宋体" w:eastAsiaTheme="minorEastAsia" w:cstheme="minorBidi"/>
          <w:color w:val="auto"/>
          <w:kern w:val="2"/>
          <w:sz w:val="21"/>
          <w:szCs w:val="21"/>
          <w:lang w:val="en-US" w:eastAsia="zh-CN" w:bidi="ar-SA"/>
        </w:rPr>
        <w:t>. 本项目投标有效期从提交投标文件的截止之日起120日历日内有效。</w:t>
      </w:r>
    </w:p>
    <w:p w14:paraId="3CAB0B6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8</w:t>
      </w:r>
      <w:r>
        <w:rPr>
          <w:rFonts w:hint="eastAsia" w:ascii="宋体" w:hAnsi="宋体" w:eastAsiaTheme="minorEastAsia" w:cstheme="minorBidi"/>
          <w:color w:val="auto"/>
          <w:kern w:val="2"/>
          <w:sz w:val="21"/>
          <w:szCs w:val="21"/>
          <w:lang w:val="en-US" w:eastAsia="zh-CN" w:bidi="ar-SA"/>
        </w:rPr>
        <w:t>. 本项目不允许提交备选方案或替代方案。</w:t>
      </w:r>
    </w:p>
    <w:p w14:paraId="347AD8D7">
      <w:pPr>
        <w:pStyle w:val="27"/>
        <w:widowControl/>
        <w:numPr>
          <w:ilvl w:val="0"/>
          <w:numId w:val="0"/>
        </w:numPr>
        <w:spacing w:line="360" w:lineRule="auto"/>
        <w:ind w:leftChars="0"/>
        <w:jc w:val="left"/>
        <w:rPr>
          <w:rFonts w:hint="eastAsia" w:asciiTheme="majorEastAsia" w:hAnsiTheme="majorEastAsia" w:eastAsiaTheme="majorEastAsia"/>
          <w:sz w:val="32"/>
          <w:szCs w:val="32"/>
          <w:lang w:val="en-US" w:eastAsia="zh-CN"/>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9</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 xml:space="preserve"> 本</w:t>
      </w:r>
      <w:r>
        <w:rPr>
          <w:rFonts w:hint="eastAsia" w:ascii="宋体" w:hAnsi="宋体" w:eastAsiaTheme="minorEastAsia" w:cstheme="minorBidi"/>
          <w:color w:val="auto"/>
          <w:kern w:val="2"/>
          <w:sz w:val="21"/>
          <w:szCs w:val="21"/>
          <w:lang w:val="en-US" w:eastAsia="zh-CN" w:bidi="ar-SA"/>
        </w:rPr>
        <w:t>项目评标方法</w:t>
      </w:r>
      <w:r>
        <w:rPr>
          <w:rFonts w:hint="eastAsia" w:ascii="宋体" w:hAnsi="宋体" w:cstheme="minorBidi"/>
          <w:color w:val="auto"/>
          <w:kern w:val="2"/>
          <w:sz w:val="21"/>
          <w:szCs w:val="21"/>
          <w:lang w:val="en-US" w:eastAsia="zh-CN" w:bidi="ar-SA"/>
        </w:rPr>
        <w:t>为综合评分法。</w:t>
      </w:r>
      <w:bookmarkStart w:id="17" w:name="_Toc26388"/>
    </w:p>
    <w:p w14:paraId="3C89600C">
      <w:pPr>
        <w:widowControl/>
        <w:numPr>
          <w:ilvl w:val="0"/>
          <w:numId w:val="0"/>
        </w:numPr>
        <w:ind w:leftChars="0"/>
        <w:jc w:val="center"/>
        <w:outlineLvl w:val="0"/>
        <w:rPr>
          <w:rFonts w:hint="eastAsia" w:asciiTheme="minorEastAsia" w:hAnsiTheme="minorEastAsia" w:cstheme="minorEastAsia"/>
          <w:b/>
          <w:bCs/>
          <w:sz w:val="28"/>
          <w:szCs w:val="28"/>
          <w:lang w:eastAsia="zh-CN"/>
        </w:rPr>
      </w:pPr>
      <w:r>
        <w:rPr>
          <w:rFonts w:hint="eastAsia" w:asciiTheme="majorEastAsia" w:hAnsiTheme="majorEastAsia" w:eastAsiaTheme="majorEastAsia"/>
          <w:sz w:val="32"/>
          <w:szCs w:val="32"/>
          <w:lang w:val="en-US" w:eastAsia="zh-CN"/>
        </w:rPr>
        <w:t xml:space="preserve">第四章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p>
    <w:tbl>
      <w:tblPr>
        <w:tblStyle w:val="17"/>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7" w:hRule="atLeast"/>
          <w:jc w:val="center"/>
        </w:trPr>
        <w:tc>
          <w:tcPr>
            <w:tcW w:w="9018" w:type="dxa"/>
            <w:vAlign w:val="center"/>
          </w:tcPr>
          <w:p w14:paraId="0168BCD2">
            <w:pPr>
              <w:pStyle w:val="6"/>
              <w:spacing w:line="360" w:lineRule="auto"/>
              <w:ind w:firstLine="482" w:firstLineChars="150"/>
              <w:rPr>
                <w:rFonts w:ascii="仿宋_GB2312" w:eastAsia="仿宋_GB2312"/>
                <w:b/>
                <w:sz w:val="32"/>
              </w:rPr>
            </w:pPr>
          </w:p>
          <w:p w14:paraId="5DD66652">
            <w:pPr>
              <w:pStyle w:val="6"/>
              <w:spacing w:line="360" w:lineRule="auto"/>
              <w:ind w:firstLine="482" w:firstLineChars="150"/>
              <w:rPr>
                <w:rFonts w:ascii="仿宋_GB2312" w:eastAsia="仿宋_GB2312"/>
                <w:b/>
                <w:sz w:val="32"/>
              </w:rPr>
            </w:pPr>
          </w:p>
          <w:p w14:paraId="4F96A7D5">
            <w:pPr>
              <w:pStyle w:val="6"/>
              <w:spacing w:line="360" w:lineRule="auto"/>
              <w:ind w:firstLine="482" w:firstLineChars="150"/>
              <w:rPr>
                <w:rFonts w:ascii="仿宋_GB2312" w:eastAsia="仿宋_GB2312"/>
                <w:b/>
                <w:sz w:val="32"/>
              </w:rPr>
            </w:pPr>
          </w:p>
          <w:p w14:paraId="24E0C28B">
            <w:pPr>
              <w:pStyle w:val="6"/>
              <w:spacing w:line="360" w:lineRule="auto"/>
              <w:jc w:val="center"/>
              <w:rPr>
                <w:rFonts w:ascii="黑体" w:eastAsia="黑体"/>
                <w:b/>
                <w:sz w:val="72"/>
                <w:szCs w:val="72"/>
              </w:rPr>
            </w:pPr>
            <w:r>
              <w:rPr>
                <w:rFonts w:hint="eastAsia" w:ascii="黑体" w:eastAsia="黑体"/>
                <w:b/>
                <w:sz w:val="72"/>
                <w:szCs w:val="72"/>
              </w:rPr>
              <w:t>投 标 文 件</w:t>
            </w:r>
          </w:p>
          <w:p w14:paraId="056E2451">
            <w:pPr>
              <w:pStyle w:val="6"/>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6"/>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6"/>
              <w:spacing w:line="360" w:lineRule="auto"/>
              <w:rPr>
                <w:rFonts w:ascii="仿宋_GB2312" w:eastAsia="仿宋_GB2312"/>
                <w:b/>
                <w:sz w:val="32"/>
              </w:rPr>
            </w:pPr>
          </w:p>
          <w:p w14:paraId="408DEE70">
            <w:pPr>
              <w:pStyle w:val="6"/>
              <w:spacing w:line="360" w:lineRule="auto"/>
              <w:rPr>
                <w:rFonts w:ascii="仿宋_GB2312" w:eastAsia="仿宋_GB2312"/>
                <w:b/>
                <w:sz w:val="32"/>
              </w:rPr>
            </w:pPr>
          </w:p>
          <w:p w14:paraId="1F535991">
            <w:pPr>
              <w:pStyle w:val="6"/>
              <w:spacing w:line="360" w:lineRule="auto"/>
              <w:rPr>
                <w:rFonts w:ascii="仿宋_GB2312" w:eastAsia="仿宋_GB2312"/>
                <w:b/>
                <w:sz w:val="32"/>
              </w:rPr>
            </w:pPr>
          </w:p>
          <w:p w14:paraId="18F76FDC">
            <w:pPr>
              <w:pStyle w:val="6"/>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6"/>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6"/>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投标人名称：</w:t>
            </w:r>
          </w:p>
          <w:p w14:paraId="3E773E6D">
            <w:pPr>
              <w:pStyle w:val="6"/>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投标人地址：</w:t>
            </w:r>
          </w:p>
          <w:p w14:paraId="578B5057">
            <w:pPr>
              <w:tabs>
                <w:tab w:val="left" w:pos="851"/>
              </w:tabs>
              <w:autoSpaceDE w:val="0"/>
              <w:autoSpaceDN w:val="0"/>
              <w:adjustRightInd w:val="0"/>
              <w:snapToGrid w:val="0"/>
              <w:spacing w:line="420" w:lineRule="auto"/>
              <w:ind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tabs>
                <w:tab w:val="left" w:pos="851"/>
              </w:tabs>
              <w:autoSpaceDE w:val="0"/>
              <w:autoSpaceDN w:val="0"/>
              <w:adjustRightInd w:val="0"/>
              <w:snapToGrid w:val="0"/>
              <w:spacing w:line="420" w:lineRule="auto"/>
              <w:ind w:firstLine="829" w:firstLineChars="295"/>
              <w:rPr>
                <w:rFonts w:hint="eastAsia" w:ascii="仿宋_GB2312" w:eastAsia="仿宋_GB2312"/>
                <w:b/>
                <w:sz w:val="28"/>
                <w:szCs w:val="28"/>
              </w:rPr>
            </w:pPr>
          </w:p>
          <w:p w14:paraId="29748A16">
            <w:pPr>
              <w:tabs>
                <w:tab w:val="left" w:pos="851"/>
              </w:tabs>
              <w:autoSpaceDE w:val="0"/>
              <w:autoSpaceDN w:val="0"/>
              <w:adjustRightInd w:val="0"/>
              <w:snapToGrid w:val="0"/>
              <w:spacing w:line="420" w:lineRule="auto"/>
              <w:ind w:firstLine="829" w:firstLineChars="295"/>
              <w:rPr>
                <w:rFonts w:ascii="仿宋_GB2312" w:eastAsia="仿宋_GB2312"/>
                <w:b/>
                <w:sz w:val="32"/>
              </w:rPr>
            </w:pPr>
            <w:r>
              <w:rPr>
                <w:rFonts w:hint="eastAsia" w:ascii="仿宋_GB2312" w:eastAsia="仿宋_GB2312"/>
                <w:b/>
                <w:sz w:val="28"/>
                <w:szCs w:val="28"/>
              </w:rPr>
              <w:t>开标之前不得启封</w:t>
            </w:r>
          </w:p>
        </w:tc>
      </w:tr>
    </w:tbl>
    <w:p w14:paraId="60FA2FDE">
      <w:pPr>
        <w:jc w:val="both"/>
        <w:rPr>
          <w:rFonts w:hint="eastAsia" w:asciiTheme="minorEastAsia" w:hAnsiTheme="minorEastAsia" w:cstheme="minorEastAsia"/>
          <w:b/>
          <w:bCs/>
          <w:sz w:val="28"/>
          <w:szCs w:val="28"/>
          <w:lang w:eastAsia="zh-CN"/>
        </w:rPr>
      </w:pPr>
    </w:p>
    <w:p w14:paraId="5B3C692F">
      <w:pPr>
        <w:pStyle w:val="3"/>
        <w:numPr>
          <w:ilvl w:val="0"/>
          <w:numId w:val="13"/>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18" w:name="_Toc6779"/>
      <w:bookmarkStart w:id="19" w:name="_Toc25542"/>
      <w:r>
        <w:rPr>
          <w:rFonts w:hint="eastAsia" w:cs="宋体" w:asciiTheme="majorEastAsia" w:hAnsiTheme="majorEastAsia" w:eastAsiaTheme="majorEastAsia"/>
          <w:kern w:val="2"/>
          <w:sz w:val="30"/>
          <w:szCs w:val="30"/>
          <w:lang w:val="en-US" w:eastAsia="zh-CN" w:bidi="ar-SA"/>
        </w:rPr>
        <w:t>资格性自查表</w:t>
      </w:r>
      <w:bookmarkEnd w:id="18"/>
      <w:bookmarkEnd w:id="19"/>
    </w:p>
    <w:tbl>
      <w:tblPr>
        <w:tblStyle w:val="17"/>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235B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2C0AE172">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47B927D3">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4" w:type="dxa"/>
            <w:vAlign w:val="center"/>
          </w:tcPr>
          <w:p w14:paraId="605A492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74725D66">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2B4A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E45F667">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315DD2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59AC65E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BE44F54">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490ABC9D">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5B61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35253EC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5CF0CCAF">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2E3F75E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2C543A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550052FD">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13"/>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0" w:name="_Toc29213"/>
      <w:bookmarkStart w:id="21" w:name="_Toc21714"/>
      <w:r>
        <w:rPr>
          <w:rFonts w:hint="eastAsia" w:cs="宋体" w:asciiTheme="majorEastAsia" w:hAnsiTheme="majorEastAsia" w:eastAsiaTheme="majorEastAsia"/>
          <w:kern w:val="2"/>
          <w:sz w:val="30"/>
          <w:szCs w:val="30"/>
          <w:lang w:val="en-US" w:eastAsia="zh-CN" w:bidi="ar-SA"/>
        </w:rPr>
        <w:t>符合性自查表</w:t>
      </w:r>
      <w:bookmarkEnd w:id="20"/>
      <w:bookmarkEnd w:id="21"/>
    </w:p>
    <w:tbl>
      <w:tblPr>
        <w:tblStyle w:val="17"/>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vAlign w:val="center"/>
          </w:tcPr>
          <w:p w14:paraId="7586257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4E0A948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4D7AF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219854E">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32E4EAE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C6FB04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381DCB45">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00FDB3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2CE383C">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29DC0A8">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分项报价或投标总价高于限价，或未按照</w:t>
            </w:r>
            <w:r>
              <w:rPr>
                <w:rFonts w:hint="eastAsia" w:ascii="宋体" w:hAnsi="宋体" w:eastAsia="宋体" w:cs="宋体"/>
                <w:sz w:val="21"/>
                <w:szCs w:val="21"/>
                <w:lang w:val="en-US" w:eastAsia="zh-CN"/>
              </w:rPr>
              <w:t>征集</w:t>
            </w:r>
            <w:r>
              <w:rPr>
                <w:rFonts w:hint="eastAsia" w:ascii="宋体" w:hAnsi="宋体" w:eastAsia="宋体" w:cs="宋体"/>
                <w:sz w:val="21"/>
                <w:szCs w:val="21"/>
              </w:rPr>
              <w:t>文件的报价要求进行报价的</w:t>
            </w:r>
          </w:p>
        </w:tc>
        <w:tc>
          <w:tcPr>
            <w:tcW w:w="1240" w:type="dxa"/>
            <w:vAlign w:val="center"/>
          </w:tcPr>
          <w:p w14:paraId="4072DA2C">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4E2554">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2B4EED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0FA558E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5189A35">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vAlign w:val="center"/>
          </w:tcPr>
          <w:p w14:paraId="097844E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评审</w:t>
            </w:r>
            <w:r>
              <w:rPr>
                <w:rFonts w:hint="eastAsia" w:ascii="宋体" w:hAnsi="宋体" w:eastAsia="宋体" w:cs="宋体"/>
                <w:sz w:val="21"/>
                <w:szCs w:val="21"/>
              </w:rPr>
              <w:t>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w:t>
            </w:r>
            <w:r>
              <w:rPr>
                <w:rFonts w:hint="eastAsia" w:ascii="宋体" w:hAnsi="宋体" w:eastAsia="宋体" w:cs="宋体"/>
                <w:sz w:val="21"/>
                <w:szCs w:val="21"/>
                <w:lang w:val="en-US" w:eastAsia="zh-CN"/>
              </w:rPr>
              <w:t>评审</w:t>
            </w:r>
            <w:r>
              <w:rPr>
                <w:rFonts w:hint="eastAsia" w:ascii="宋体" w:hAnsi="宋体" w:eastAsia="宋体" w:cs="宋体"/>
                <w:sz w:val="21"/>
                <w:szCs w:val="21"/>
              </w:rPr>
              <w:t>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w:t>
            </w:r>
            <w:r>
              <w:rPr>
                <w:rFonts w:hint="eastAsia" w:ascii="宋体" w:hAnsi="宋体" w:eastAsia="宋体" w:cs="宋体"/>
                <w:sz w:val="21"/>
                <w:szCs w:val="21"/>
                <w:lang w:val="en-US" w:eastAsia="zh-CN"/>
              </w:rPr>
              <w:t>评审</w:t>
            </w:r>
            <w:r>
              <w:rPr>
                <w:rFonts w:hint="eastAsia" w:ascii="宋体" w:hAnsi="宋体" w:eastAsia="宋体" w:cs="宋体"/>
                <w:sz w:val="21"/>
                <w:szCs w:val="21"/>
              </w:rPr>
              <w:t>小组的意见，投标文件的轻微瑕疵、非关键内容不得作为认定投标无效的依据）</w:t>
            </w:r>
          </w:p>
        </w:tc>
        <w:tc>
          <w:tcPr>
            <w:tcW w:w="1240" w:type="dxa"/>
            <w:vAlign w:val="center"/>
          </w:tcPr>
          <w:p w14:paraId="0AC806A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12729277">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2E8BCCF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c>
          <w:tcPr>
            <w:tcW w:w="1240" w:type="dxa"/>
            <w:vAlign w:val="center"/>
          </w:tcPr>
          <w:p w14:paraId="7FE763E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0D67A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Align w:val="center"/>
          </w:tcPr>
          <w:p w14:paraId="67D4A6A3">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c>
          <w:tcPr>
            <w:tcW w:w="1240" w:type="dxa"/>
            <w:vAlign w:val="center"/>
          </w:tcPr>
          <w:p w14:paraId="75F0D055">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1D38B69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E86990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根据《分项报价清单》做出评判）；</w:t>
            </w:r>
          </w:p>
        </w:tc>
        <w:tc>
          <w:tcPr>
            <w:tcW w:w="1240" w:type="dxa"/>
            <w:vAlign w:val="center"/>
          </w:tcPr>
          <w:p w14:paraId="6708E17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198990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4BF9E474">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c>
          <w:tcPr>
            <w:tcW w:w="1240" w:type="dxa"/>
            <w:vAlign w:val="center"/>
          </w:tcPr>
          <w:p w14:paraId="23FF864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AF53DE">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451AC4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24C92BD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3FD0317">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bookmarkStart w:id="22" w:name="_Toc20641"/>
      <w:bookmarkStart w:id="23" w:name="_Toc1526"/>
      <w:r>
        <w:rPr>
          <w:rFonts w:hint="eastAsia" w:cs="宋体" w:asciiTheme="majorEastAsia" w:hAnsiTheme="majorEastAsia" w:eastAsiaTheme="majorEastAsia"/>
          <w:kern w:val="2"/>
          <w:sz w:val="30"/>
          <w:szCs w:val="30"/>
          <w:lang w:val="en-US" w:eastAsia="zh-CN" w:bidi="ar-SA"/>
        </w:rPr>
        <w:t>（三）警示情形自查确认表</w:t>
      </w:r>
      <w:bookmarkEnd w:id="22"/>
      <w:bookmarkEnd w:id="23"/>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spacing w:line="240" w:lineRule="auto"/>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spacing w:line="240" w:lineRule="auto"/>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spacing w:line="240" w:lineRule="auto"/>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spacing w:line="240" w:lineRule="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660" w:type="dxa"/>
            <w:tcBorders>
              <w:tl2br w:val="nil"/>
              <w:tr2bl w:val="nil"/>
            </w:tcBorders>
            <w:noWrap/>
            <w:vAlign w:val="center"/>
          </w:tcPr>
          <w:p w14:paraId="55206D20">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spacing w:line="240" w:lineRule="auto"/>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spacing w:line="240" w:lineRule="auto"/>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spacing w:line="240" w:lineRule="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以下拉列表显示“单位”和“个人”，其中，“单位”需填写单位全称、统一社会信用代码、联系人及电话，“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11"/>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bookmarkStart w:id="24" w:name="_Toc30883"/>
      <w:bookmarkStart w:id="25" w:name="_Toc15495"/>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w:t>
      </w:r>
      <w:r>
        <w:rPr>
          <w:rFonts w:hint="eastAsia" w:ascii="宋体" w:hAnsi="宋体"/>
          <w:szCs w:val="21"/>
          <w:lang w:eastAsia="zh-CN"/>
        </w:rPr>
        <w:t>征集</w:t>
      </w:r>
      <w:r>
        <w:rPr>
          <w:rFonts w:hint="eastAsia" w:ascii="宋体" w:hAnsi="宋体"/>
          <w:szCs w:val="21"/>
        </w:rPr>
        <w:t>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CDB1412">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lang w:eastAsia="zh-CN"/>
        </w:rPr>
      </w:pPr>
    </w:p>
    <w:p w14:paraId="2D702FE2">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143A60E">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93A0226">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54FB10D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8D6FDB3">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CA0789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7EC515C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5D67AAB1">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93EF1F0">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3E8195FC">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7D4383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F05B660">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7F5347DD">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44C12BA8">
      <w:pPr>
        <w:pStyle w:val="3"/>
        <w:numPr>
          <w:ilvl w:val="0"/>
          <w:numId w:val="11"/>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asciiTheme="majorEastAsia" w:hAnsiTheme="majorEastAsia" w:eastAsiaTheme="majorEastAsia"/>
          <w:sz w:val="30"/>
          <w:szCs w:val="30"/>
        </w:rPr>
        <w:t>营业</w:t>
      </w:r>
      <w:r>
        <w:rPr>
          <w:rFonts w:hint="eastAsia" w:cs="宋体" w:asciiTheme="majorEastAsia" w:hAnsiTheme="majorEastAsia" w:eastAsiaTheme="majorEastAsia"/>
          <w:sz w:val="30"/>
          <w:szCs w:val="30"/>
        </w:rPr>
        <w:t>执照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授权书、注册证</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bookmarkEnd w:id="25"/>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bookmarkStart w:id="26" w:name="_Toc5508"/>
      <w:bookmarkStart w:id="27" w:name="_Toc31601"/>
      <w:r>
        <w:rPr>
          <w:rFonts w:hint="eastAsia" w:cs="宋体" w:asciiTheme="majorEastAsia" w:hAnsiTheme="majorEastAsia" w:eastAsiaTheme="majorEastAsia"/>
          <w:kern w:val="2"/>
          <w:sz w:val="30"/>
          <w:szCs w:val="30"/>
          <w:lang w:val="en-US" w:eastAsia="zh-CN" w:bidi="ar-SA"/>
        </w:rPr>
        <w:t>（六）诚信及信用信息证明</w:t>
      </w:r>
      <w:bookmarkEnd w:id="26"/>
      <w:bookmarkEnd w:id="27"/>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6DD1DC2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8" w:name="_Toc11281"/>
      <w:bookmarkStart w:id="29" w:name="_Toc2713"/>
      <w:bookmarkStart w:id="30"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8"/>
      <w:bookmarkEnd w:id="29"/>
      <w:bookmarkEnd w:id="30"/>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45A0A5D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bidi w:val="0"/>
              <w:spacing w:line="360" w:lineRule="auto"/>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1B42BE4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bidi w:val="0"/>
              <w:spacing w:line="360" w:lineRule="auto"/>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bidi w:val="0"/>
              <w:spacing w:line="360" w:lineRule="auto"/>
              <w:jc w:val="center"/>
              <w:rPr>
                <w:rFonts w:hint="eastAsia" w:ascii="宋体" w:hAnsi="宋体" w:eastAsia="宋体" w:cs="宋体"/>
                <w:sz w:val="21"/>
                <w:szCs w:val="21"/>
                <w:vertAlign w:val="baseline"/>
              </w:rPr>
            </w:pPr>
          </w:p>
        </w:tc>
        <w:tc>
          <w:tcPr>
            <w:tcW w:w="1583" w:type="dxa"/>
            <w:vAlign w:val="center"/>
          </w:tcPr>
          <w:p w14:paraId="193FE523">
            <w:pPr>
              <w:bidi w:val="0"/>
              <w:spacing w:line="360" w:lineRule="auto"/>
              <w:jc w:val="center"/>
              <w:rPr>
                <w:rFonts w:hint="eastAsia" w:ascii="宋体" w:hAnsi="宋体" w:eastAsia="宋体" w:cs="宋体"/>
                <w:sz w:val="21"/>
                <w:szCs w:val="21"/>
                <w:vertAlign w:val="baseline"/>
              </w:rPr>
            </w:pPr>
          </w:p>
        </w:tc>
        <w:tc>
          <w:tcPr>
            <w:tcW w:w="1583" w:type="dxa"/>
            <w:vAlign w:val="center"/>
          </w:tcPr>
          <w:p w14:paraId="483A26E6">
            <w:pPr>
              <w:bidi w:val="0"/>
              <w:spacing w:line="360" w:lineRule="auto"/>
              <w:jc w:val="center"/>
              <w:rPr>
                <w:rFonts w:hint="eastAsia" w:ascii="宋体" w:hAnsi="宋体" w:eastAsia="宋体" w:cs="宋体"/>
                <w:sz w:val="21"/>
                <w:szCs w:val="21"/>
                <w:vertAlign w:val="baseline"/>
              </w:rPr>
            </w:pPr>
          </w:p>
        </w:tc>
        <w:tc>
          <w:tcPr>
            <w:tcW w:w="1583" w:type="dxa"/>
            <w:vAlign w:val="center"/>
          </w:tcPr>
          <w:p w14:paraId="65FD7B42">
            <w:pPr>
              <w:bidi w:val="0"/>
              <w:spacing w:line="360" w:lineRule="auto"/>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19B57">
            <w:pPr>
              <w:bidi w:val="0"/>
              <w:spacing w:line="360" w:lineRule="auto"/>
              <w:jc w:val="center"/>
              <w:rPr>
                <w:rFonts w:hint="eastAsia" w:ascii="宋体" w:hAnsi="宋体" w:eastAsia="宋体" w:cs="宋体"/>
                <w:sz w:val="21"/>
                <w:szCs w:val="21"/>
                <w:vertAlign w:val="baseline"/>
              </w:rPr>
            </w:pPr>
          </w:p>
        </w:tc>
        <w:tc>
          <w:tcPr>
            <w:tcW w:w="1583" w:type="dxa"/>
            <w:vAlign w:val="center"/>
          </w:tcPr>
          <w:p w14:paraId="2F47493C">
            <w:pPr>
              <w:bidi w:val="0"/>
              <w:spacing w:line="360" w:lineRule="auto"/>
              <w:jc w:val="center"/>
              <w:rPr>
                <w:rFonts w:hint="eastAsia" w:ascii="宋体" w:hAnsi="宋体" w:eastAsia="宋体" w:cs="宋体"/>
                <w:sz w:val="21"/>
                <w:szCs w:val="21"/>
                <w:vertAlign w:val="baseline"/>
              </w:rPr>
            </w:pPr>
          </w:p>
        </w:tc>
        <w:tc>
          <w:tcPr>
            <w:tcW w:w="1583" w:type="dxa"/>
            <w:vAlign w:val="center"/>
          </w:tcPr>
          <w:p w14:paraId="6D911DD1">
            <w:pPr>
              <w:bidi w:val="0"/>
              <w:spacing w:line="360" w:lineRule="auto"/>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bidi w:val="0"/>
              <w:spacing w:line="360" w:lineRule="auto"/>
              <w:jc w:val="center"/>
              <w:rPr>
                <w:rFonts w:hint="eastAsia" w:ascii="宋体" w:hAnsi="宋体" w:eastAsia="宋体" w:cs="宋体"/>
                <w:sz w:val="21"/>
                <w:szCs w:val="21"/>
                <w:vertAlign w:val="baseline"/>
              </w:rPr>
            </w:pPr>
          </w:p>
        </w:tc>
        <w:tc>
          <w:tcPr>
            <w:tcW w:w="1583" w:type="dxa"/>
            <w:vAlign w:val="center"/>
          </w:tcPr>
          <w:p w14:paraId="6C0051F4">
            <w:pPr>
              <w:bidi w:val="0"/>
              <w:spacing w:line="360" w:lineRule="auto"/>
              <w:jc w:val="center"/>
              <w:rPr>
                <w:rFonts w:hint="eastAsia" w:ascii="宋体" w:hAnsi="宋体" w:eastAsia="宋体" w:cs="宋体"/>
                <w:sz w:val="21"/>
                <w:szCs w:val="21"/>
                <w:vertAlign w:val="baseline"/>
              </w:rPr>
            </w:pPr>
          </w:p>
        </w:tc>
        <w:tc>
          <w:tcPr>
            <w:tcW w:w="1583" w:type="dxa"/>
            <w:vAlign w:val="center"/>
          </w:tcPr>
          <w:p w14:paraId="148729EF">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E0359">
            <w:pPr>
              <w:bidi w:val="0"/>
              <w:spacing w:line="360" w:lineRule="auto"/>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bidi w:val="0"/>
              <w:spacing w:line="360" w:lineRule="auto"/>
              <w:jc w:val="center"/>
              <w:rPr>
                <w:rFonts w:hint="eastAsia" w:ascii="宋体" w:hAnsi="宋体" w:eastAsia="宋体" w:cs="宋体"/>
                <w:sz w:val="21"/>
                <w:szCs w:val="21"/>
                <w:vertAlign w:val="baseline"/>
              </w:rPr>
            </w:pPr>
          </w:p>
        </w:tc>
        <w:tc>
          <w:tcPr>
            <w:tcW w:w="1583" w:type="dxa"/>
            <w:vAlign w:val="center"/>
          </w:tcPr>
          <w:p w14:paraId="7D102E78">
            <w:pPr>
              <w:bidi w:val="0"/>
              <w:spacing w:line="360" w:lineRule="auto"/>
              <w:jc w:val="center"/>
              <w:rPr>
                <w:rFonts w:hint="eastAsia" w:ascii="宋体" w:hAnsi="宋体" w:eastAsia="宋体" w:cs="宋体"/>
                <w:sz w:val="21"/>
                <w:szCs w:val="21"/>
                <w:vertAlign w:val="baseline"/>
              </w:rPr>
            </w:pPr>
          </w:p>
        </w:tc>
        <w:tc>
          <w:tcPr>
            <w:tcW w:w="1583" w:type="dxa"/>
            <w:vAlign w:val="center"/>
          </w:tcPr>
          <w:p w14:paraId="75A708A7">
            <w:pPr>
              <w:bidi w:val="0"/>
              <w:spacing w:line="360" w:lineRule="auto"/>
              <w:jc w:val="center"/>
              <w:rPr>
                <w:rFonts w:hint="eastAsia" w:ascii="宋体" w:hAnsi="宋体" w:eastAsia="宋体" w:cs="宋体"/>
                <w:sz w:val="21"/>
                <w:szCs w:val="21"/>
                <w:vertAlign w:val="baseline"/>
              </w:rPr>
            </w:pPr>
          </w:p>
        </w:tc>
        <w:tc>
          <w:tcPr>
            <w:tcW w:w="1583" w:type="dxa"/>
            <w:vAlign w:val="center"/>
          </w:tcPr>
          <w:p w14:paraId="450CDBC5">
            <w:pPr>
              <w:bidi w:val="0"/>
              <w:spacing w:line="360" w:lineRule="auto"/>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bidi w:val="0"/>
              <w:spacing w:line="360" w:lineRule="auto"/>
              <w:jc w:val="center"/>
              <w:rPr>
                <w:rFonts w:hint="eastAsia" w:ascii="宋体" w:hAnsi="宋体" w:eastAsia="宋体" w:cs="宋体"/>
                <w:sz w:val="21"/>
                <w:szCs w:val="21"/>
                <w:vertAlign w:val="baseline"/>
              </w:rPr>
            </w:pPr>
          </w:p>
        </w:tc>
        <w:tc>
          <w:tcPr>
            <w:tcW w:w="1583" w:type="dxa"/>
            <w:vAlign w:val="center"/>
          </w:tcPr>
          <w:p w14:paraId="39CE7BCD">
            <w:pPr>
              <w:bidi w:val="0"/>
              <w:spacing w:line="360" w:lineRule="auto"/>
              <w:jc w:val="center"/>
              <w:rPr>
                <w:rFonts w:hint="eastAsia" w:ascii="宋体" w:hAnsi="宋体" w:eastAsia="宋体" w:cs="宋体"/>
                <w:sz w:val="21"/>
                <w:szCs w:val="21"/>
                <w:vertAlign w:val="baseline"/>
              </w:rPr>
            </w:pPr>
          </w:p>
        </w:tc>
        <w:tc>
          <w:tcPr>
            <w:tcW w:w="1583" w:type="dxa"/>
            <w:vAlign w:val="center"/>
          </w:tcPr>
          <w:p w14:paraId="6B629900">
            <w:pPr>
              <w:bidi w:val="0"/>
              <w:spacing w:line="360" w:lineRule="auto"/>
              <w:jc w:val="center"/>
              <w:rPr>
                <w:rFonts w:hint="eastAsia" w:ascii="宋体" w:hAnsi="宋体" w:eastAsia="宋体" w:cs="宋体"/>
                <w:sz w:val="21"/>
                <w:szCs w:val="21"/>
                <w:vertAlign w:val="baseline"/>
              </w:rPr>
            </w:pPr>
          </w:p>
        </w:tc>
        <w:tc>
          <w:tcPr>
            <w:tcW w:w="1583" w:type="dxa"/>
            <w:vAlign w:val="center"/>
          </w:tcPr>
          <w:p w14:paraId="4BC94FC8">
            <w:pPr>
              <w:bidi w:val="0"/>
              <w:spacing w:line="360" w:lineRule="auto"/>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6B2E6F38">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2A7418A5">
            <w:pPr>
              <w:bidi w:val="0"/>
              <w:spacing w:line="360" w:lineRule="auto"/>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1BEFE362">
      <w:pPr>
        <w:jc w:val="center"/>
        <w:rPr>
          <w:rFonts w:hint="eastAsia" w:asciiTheme="minorEastAsia" w:hAnsiTheme="minorEastAsia" w:cstheme="minorEastAsia"/>
          <w:b/>
          <w:bCs/>
          <w:sz w:val="28"/>
          <w:szCs w:val="28"/>
          <w:lang w:eastAsia="zh-CN"/>
        </w:rPr>
      </w:pPr>
    </w:p>
    <w:p w14:paraId="743CBD1F">
      <w:pPr>
        <w:jc w:val="center"/>
        <w:rPr>
          <w:rFonts w:hint="eastAsia" w:asciiTheme="minorEastAsia" w:hAnsiTheme="minorEastAsia" w:cstheme="minorEastAsia"/>
          <w:b/>
          <w:bCs/>
          <w:sz w:val="28"/>
          <w:szCs w:val="28"/>
          <w:lang w:eastAsia="zh-CN"/>
        </w:rPr>
      </w:pPr>
    </w:p>
    <w:p w14:paraId="447DED23">
      <w:pPr>
        <w:jc w:val="center"/>
        <w:rPr>
          <w:rFonts w:hint="eastAsia" w:asciiTheme="minorEastAsia" w:hAnsiTheme="minorEastAsia" w:cstheme="minorEastAsia"/>
          <w:b/>
          <w:bCs/>
          <w:sz w:val="28"/>
          <w:szCs w:val="28"/>
          <w:lang w:eastAsia="zh-CN"/>
        </w:rPr>
      </w:pPr>
    </w:p>
    <w:p w14:paraId="720840E8">
      <w:pPr>
        <w:jc w:val="center"/>
        <w:rPr>
          <w:rFonts w:hint="eastAsia" w:asciiTheme="minorEastAsia" w:hAnsiTheme="minorEastAsia" w:cstheme="minorEastAsia"/>
          <w:b/>
          <w:bCs/>
          <w:sz w:val="28"/>
          <w:szCs w:val="28"/>
          <w:lang w:eastAsia="zh-CN"/>
        </w:rPr>
      </w:pPr>
    </w:p>
    <w:p w14:paraId="00E2FEFB">
      <w:pPr>
        <w:jc w:val="center"/>
        <w:rPr>
          <w:rFonts w:hint="eastAsia" w:asciiTheme="minorEastAsia" w:hAnsiTheme="minorEastAsia" w:cstheme="minorEastAsia"/>
          <w:b/>
          <w:bCs/>
          <w:sz w:val="28"/>
          <w:szCs w:val="28"/>
          <w:lang w:eastAsia="zh-CN"/>
        </w:rPr>
      </w:pPr>
    </w:p>
    <w:p w14:paraId="010C2661">
      <w:pPr>
        <w:jc w:val="center"/>
        <w:rPr>
          <w:rFonts w:hint="eastAsia" w:asciiTheme="minorEastAsia" w:hAnsiTheme="minorEastAsia" w:cstheme="minorEastAsia"/>
          <w:b/>
          <w:bCs/>
          <w:sz w:val="28"/>
          <w:szCs w:val="28"/>
          <w:lang w:eastAsia="zh-CN"/>
        </w:rPr>
      </w:pPr>
    </w:p>
    <w:p w14:paraId="2E9B4DEC">
      <w:pPr>
        <w:jc w:val="center"/>
        <w:rPr>
          <w:rFonts w:hint="eastAsia" w:asciiTheme="minorEastAsia" w:hAnsiTheme="minorEastAsia" w:cstheme="minorEastAsia"/>
          <w:b/>
          <w:bCs/>
          <w:sz w:val="28"/>
          <w:szCs w:val="28"/>
          <w:lang w:eastAsia="zh-CN"/>
        </w:rPr>
      </w:pPr>
    </w:p>
    <w:p w14:paraId="3680AF06">
      <w:pPr>
        <w:jc w:val="center"/>
        <w:rPr>
          <w:rFonts w:hint="eastAsia" w:asciiTheme="minorEastAsia" w:hAnsiTheme="minorEastAsia" w:cstheme="minorEastAsia"/>
          <w:b/>
          <w:bCs/>
          <w:sz w:val="28"/>
          <w:szCs w:val="28"/>
          <w:lang w:eastAsia="zh-CN"/>
        </w:rPr>
      </w:pPr>
    </w:p>
    <w:p w14:paraId="21FE1135">
      <w:pPr>
        <w:jc w:val="center"/>
        <w:rPr>
          <w:rFonts w:hint="eastAsia" w:asciiTheme="minorEastAsia" w:hAnsiTheme="minorEastAsia" w:cstheme="minorEastAsia"/>
          <w:b/>
          <w:bCs/>
          <w:sz w:val="28"/>
          <w:szCs w:val="28"/>
          <w:lang w:eastAsia="zh-CN"/>
        </w:rPr>
      </w:pPr>
    </w:p>
    <w:p w14:paraId="090A3839">
      <w:pPr>
        <w:jc w:val="center"/>
        <w:rPr>
          <w:rFonts w:hint="eastAsia" w:asciiTheme="minorEastAsia" w:hAnsiTheme="minorEastAsia" w:cstheme="minorEastAsia"/>
          <w:b/>
          <w:bCs/>
          <w:sz w:val="28"/>
          <w:szCs w:val="28"/>
          <w:lang w:eastAsia="zh-CN"/>
        </w:rPr>
      </w:pPr>
    </w:p>
    <w:p w14:paraId="0981D0C8">
      <w:pPr>
        <w:jc w:val="center"/>
        <w:rPr>
          <w:rFonts w:hint="eastAsia" w:asciiTheme="minorEastAsia" w:hAnsiTheme="minorEastAsia" w:cstheme="minorEastAsia"/>
          <w:b/>
          <w:bCs/>
          <w:sz w:val="28"/>
          <w:szCs w:val="28"/>
          <w:lang w:eastAsia="zh-CN"/>
        </w:rPr>
      </w:pPr>
    </w:p>
    <w:p w14:paraId="23ED3C9B">
      <w:pPr>
        <w:jc w:val="center"/>
        <w:rPr>
          <w:rFonts w:hint="eastAsia" w:asciiTheme="minorEastAsia" w:hAnsiTheme="minorEastAsia" w:cstheme="minorEastAsia"/>
          <w:b/>
          <w:bCs/>
          <w:sz w:val="28"/>
          <w:szCs w:val="28"/>
          <w:lang w:eastAsia="zh-CN"/>
        </w:rPr>
      </w:pPr>
    </w:p>
    <w:p w14:paraId="21EDC35B">
      <w:pPr>
        <w:jc w:val="center"/>
        <w:rPr>
          <w:rFonts w:hint="eastAsia" w:asciiTheme="minorEastAsia" w:hAnsiTheme="minorEastAsia" w:cstheme="minorEastAsia"/>
          <w:b/>
          <w:bCs/>
          <w:sz w:val="28"/>
          <w:szCs w:val="28"/>
          <w:lang w:eastAsia="zh-CN"/>
        </w:rPr>
      </w:pPr>
    </w:p>
    <w:p w14:paraId="6D95A4B1">
      <w:pPr>
        <w:jc w:val="center"/>
        <w:rPr>
          <w:rFonts w:hint="eastAsia" w:asciiTheme="minorEastAsia" w:hAnsiTheme="minorEastAsia" w:cstheme="minorEastAsia"/>
          <w:b/>
          <w:bCs/>
          <w:sz w:val="28"/>
          <w:szCs w:val="28"/>
          <w:lang w:eastAsia="zh-CN"/>
        </w:rPr>
      </w:pPr>
    </w:p>
    <w:p w14:paraId="133C1CB5">
      <w:pPr>
        <w:jc w:val="center"/>
        <w:rPr>
          <w:rFonts w:hint="eastAsia" w:asciiTheme="minorEastAsia" w:hAnsiTheme="minorEastAsia" w:cstheme="minorEastAsia"/>
          <w:b/>
          <w:bCs/>
          <w:sz w:val="28"/>
          <w:szCs w:val="28"/>
          <w:lang w:eastAsia="zh-CN"/>
        </w:rPr>
      </w:pPr>
    </w:p>
    <w:p w14:paraId="6B35AE39">
      <w:pPr>
        <w:jc w:val="center"/>
        <w:rPr>
          <w:rFonts w:hint="eastAsia" w:asciiTheme="minorEastAsia" w:hAnsiTheme="minorEastAsia" w:cstheme="minorEastAsia"/>
          <w:b/>
          <w:bCs/>
          <w:sz w:val="28"/>
          <w:szCs w:val="28"/>
          <w:lang w:eastAsia="zh-CN"/>
        </w:rPr>
      </w:pPr>
    </w:p>
    <w:p w14:paraId="183A7A36">
      <w:pPr>
        <w:jc w:val="center"/>
        <w:rPr>
          <w:rFonts w:hint="eastAsia" w:asciiTheme="minorEastAsia" w:hAnsiTheme="minorEastAsia" w:cstheme="minorEastAsia"/>
          <w:b/>
          <w:bCs/>
          <w:sz w:val="28"/>
          <w:szCs w:val="28"/>
          <w:lang w:eastAsia="zh-CN"/>
        </w:rPr>
      </w:pP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31" w:name="_Toc2271"/>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八</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31"/>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5"/>
        <w:spacing w:before="120" w:after="120" w:line="276" w:lineRule="auto"/>
        <w:ind w:left="0" w:leftChars="0" w:firstLine="0" w:firstLineChars="0"/>
        <w:rPr>
          <w:rFonts w:hint="eastAsia"/>
          <w:b/>
          <w:color w:val="auto"/>
          <w:sz w:val="24"/>
        </w:rPr>
      </w:pPr>
    </w:p>
    <w:p w14:paraId="4B1D9CBC">
      <w:pPr>
        <w:pStyle w:val="35"/>
        <w:spacing w:before="120" w:after="120" w:line="276" w:lineRule="auto"/>
        <w:ind w:firstLine="482" w:firstLineChars="200"/>
        <w:outlineLvl w:val="9"/>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征集</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32" w:name="_Hlk72259001"/>
      <w:r>
        <w:rPr>
          <w:rFonts w:hint="eastAsia"/>
          <w:b/>
          <w:bCs/>
          <w:color w:val="auto"/>
          <w:lang w:eastAsia="zh-CN"/>
        </w:rPr>
        <w:t>征集</w:t>
      </w:r>
      <w:r>
        <w:rPr>
          <w:rFonts w:hint="eastAsia"/>
          <w:b/>
          <w:bCs/>
          <w:color w:val="auto"/>
        </w:rPr>
        <w:t>文件</w:t>
      </w:r>
      <w:bookmarkEnd w:id="32"/>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征集</w:t>
      </w:r>
      <w:r>
        <w:rPr>
          <w:rFonts w:hint="eastAsia"/>
          <w:b/>
          <w:bCs/>
          <w:color w:val="auto"/>
        </w:rPr>
        <w:t>文件中明确的所属行业”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征集</w:t>
      </w:r>
      <w:r>
        <w:rPr>
          <w:rFonts w:hint="eastAsia"/>
          <w:b/>
          <w:bCs/>
          <w:color w:val="auto"/>
        </w:rPr>
        <w:t>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征集</w:t>
      </w:r>
      <w:r>
        <w:rPr>
          <w:rFonts w:hint="eastAsia" w:ascii="宋体" w:hAnsi="宋体" w:eastAsia="宋体" w:cs="宋体"/>
          <w:b/>
          <w:bCs/>
          <w:color w:val="auto"/>
          <w:sz w:val="21"/>
          <w:szCs w:val="21"/>
        </w:rPr>
        <w:t>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4C31D22">
      <w:pPr>
        <w:pStyle w:val="6"/>
        <w:rPr>
          <w:color w:val="auto"/>
        </w:rPr>
      </w:pPr>
    </w:p>
    <w:p w14:paraId="04F8DE87">
      <w:pPr>
        <w:spacing w:after="60"/>
        <w:jc w:val="center"/>
        <w:outlineLvl w:val="9"/>
        <w:rPr>
          <w:b/>
          <w:color w:val="auto"/>
        </w:rPr>
      </w:pPr>
      <w:r>
        <w:rPr>
          <w:rFonts w:hint="eastAsia"/>
          <w:b/>
          <w:color w:val="auto"/>
        </w:rPr>
        <w:t>1、中小企业声明函</w:t>
      </w:r>
    </w:p>
    <w:p w14:paraId="260C3881">
      <w:pPr>
        <w:pStyle w:val="6"/>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6"/>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6"/>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6"/>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6"/>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9"/>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9"/>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6"/>
        <w:outlineLvl w:val="9"/>
        <w:rPr>
          <w:color w:val="auto"/>
        </w:rPr>
      </w:pPr>
    </w:p>
    <w:p w14:paraId="2512CD8D">
      <w:pPr>
        <w:spacing w:line="360" w:lineRule="exact"/>
        <w:ind w:firstLine="424" w:firstLineChars="202"/>
        <w:outlineLvl w:val="9"/>
        <w:rPr>
          <w:rFonts w:hint="eastAsia"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 xml:space="preserve">                                      </w:t>
      </w:r>
    </w:p>
    <w:p w14:paraId="4C8F2CD5">
      <w:pPr>
        <w:spacing w:after="60" w:line="360" w:lineRule="exact"/>
        <w:jc w:val="center"/>
        <w:outlineLvl w:val="9"/>
        <w:rPr>
          <w:rFonts w:hint="eastAsia" w:asciiTheme="minorEastAsia" w:hAnsiTheme="minorEastAsia" w:eastAsiaTheme="minorEastAsia"/>
          <w:lang w:val="en-US" w:eastAsia="zh-CN"/>
        </w:rPr>
      </w:pPr>
      <w:r>
        <w:rPr>
          <w:rFonts w:hint="eastAsia"/>
          <w:b/>
          <w:color w:val="auto"/>
          <w:lang w:val="en-US" w:eastAsia="zh-CN"/>
        </w:rPr>
        <w:t>4、《关于符合本国产品标准的声明函》</w:t>
      </w:r>
    </w:p>
    <w:p w14:paraId="7394D0B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Theme="minorEastAsia" w:cstheme="minorBidi"/>
          <w:b/>
          <w:color w:val="auto"/>
          <w:kern w:val="2"/>
          <w:sz w:val="21"/>
          <w:szCs w:val="21"/>
          <w:lang w:val="en-US" w:eastAsia="zh-CN" w:bidi="ar-SA"/>
        </w:rPr>
      </w:pPr>
      <w:r>
        <w:rPr>
          <w:rFonts w:hint="eastAsia" w:ascii="宋体" w:hAnsi="宋体" w:eastAsiaTheme="minorEastAsia" w:cstheme="minorBidi"/>
          <w:b/>
          <w:color w:val="auto"/>
          <w:kern w:val="2"/>
          <w:sz w:val="21"/>
          <w:szCs w:val="21"/>
          <w:lang w:val="en-US" w:eastAsia="zh-CN" w:bidi="ar-SA"/>
        </w:rPr>
        <w:t>关于符合本国产品标准的声明函</w:t>
      </w:r>
    </w:p>
    <w:p w14:paraId="15832DE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7D8A3EA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384A68B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766378F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w:t>
      </w:r>
    </w:p>
    <w:p w14:paraId="5A64CDA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本公司（单位）对上述声明内容的真实性负责。如有虚假，愿承担相应法律责任。</w:t>
      </w:r>
    </w:p>
    <w:p w14:paraId="414C591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Theme="minorEastAsia" w:cstheme="minorBidi"/>
          <w:color w:val="auto"/>
          <w:kern w:val="2"/>
          <w:sz w:val="21"/>
          <w:szCs w:val="21"/>
          <w:lang w:val="en-US" w:eastAsia="zh-CN" w:bidi="ar-SA"/>
        </w:rPr>
      </w:pPr>
    </w:p>
    <w:p w14:paraId="2EE5A33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Theme="minorEastAsia" w:cstheme="minorBidi"/>
          <w:color w:val="auto"/>
          <w:kern w:val="2"/>
          <w:sz w:val="21"/>
          <w:szCs w:val="21"/>
          <w:lang w:val="en-US" w:eastAsia="zh-CN" w:bidi="ar-SA"/>
        </w:rPr>
      </w:pPr>
    </w:p>
    <w:p w14:paraId="084E73B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公司（单位）名称（盖章）：</w:t>
      </w:r>
    </w:p>
    <w:p w14:paraId="4D69614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日期：     年  月  日</w:t>
      </w:r>
    </w:p>
    <w:p w14:paraId="17347D2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333333"/>
          <w:spacing w:val="0"/>
          <w:sz w:val="24"/>
          <w:szCs w:val="24"/>
        </w:rPr>
      </w:pPr>
    </w:p>
    <w:p w14:paraId="5471600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_____________________________</w:t>
      </w:r>
    </w:p>
    <w:p w14:paraId="410898D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default" w:ascii="宋体" w:hAnsi="宋体" w:eastAsiaTheme="minorEastAsia" w:cstheme="minorBidi"/>
          <w:color w:val="auto"/>
          <w:kern w:val="2"/>
          <w:sz w:val="21"/>
          <w:szCs w:val="21"/>
          <w:lang w:val="en-US" w:eastAsia="zh-CN" w:bidi="ar-SA"/>
        </w:rPr>
        <w:t>1.产品如有型号，请在“产品名称”栏一并填写。</w:t>
      </w:r>
    </w:p>
    <w:p w14:paraId="72AB103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default" w:ascii="宋体" w:hAnsi="宋体" w:eastAsiaTheme="minorEastAsia" w:cstheme="minorBidi"/>
          <w:color w:val="auto"/>
          <w:kern w:val="2"/>
          <w:sz w:val="21"/>
          <w:szCs w:val="21"/>
          <w:lang w:val="en-US" w:eastAsia="zh-CN" w:bidi="ar-SA"/>
        </w:rPr>
        <w:t>2.生产厂名与厂址应与生产厂营业执照载明的相关信息保持一致。</w:t>
      </w:r>
    </w:p>
    <w:p w14:paraId="43DBA62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default" w:ascii="宋体" w:hAnsi="宋体" w:eastAsiaTheme="minorEastAsia" w:cstheme="minorBidi"/>
          <w:color w:val="auto"/>
          <w:kern w:val="2"/>
          <w:sz w:val="21"/>
          <w:szCs w:val="21"/>
          <w:lang w:val="en-US" w:eastAsia="zh-CN" w:bidi="ar-SA"/>
        </w:rPr>
        <w:t>3.该产品的中国境内生产的组件成本占比相关要求实施前，“规定比例”栏可不填，下同。</w:t>
      </w:r>
    </w:p>
    <w:p w14:paraId="277485E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default" w:ascii="宋体" w:hAnsi="宋体" w:eastAsiaTheme="minorEastAsia" w:cstheme="minorBidi"/>
          <w:color w:val="auto"/>
          <w:kern w:val="2"/>
          <w:sz w:val="21"/>
          <w:szCs w:val="21"/>
          <w:lang w:val="en-US" w:eastAsia="zh-CN" w:bidi="ar-SA"/>
        </w:rPr>
        <w:t>4.该产品的关键组件要求实施前，“关键组件”栏可不填，下同。</w:t>
      </w:r>
    </w:p>
    <w:p w14:paraId="55D3C78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default" w:ascii="宋体" w:hAnsi="宋体" w:eastAsiaTheme="minorEastAsia" w:cstheme="minorBidi"/>
          <w:color w:val="auto"/>
          <w:kern w:val="2"/>
          <w:sz w:val="21"/>
          <w:szCs w:val="21"/>
          <w:lang w:val="en-US" w:eastAsia="zh-CN" w:bidi="ar-SA"/>
        </w:rPr>
        <w:t>5.该产品的关键工序要求实施前，“关键工序”栏可不填，下同。</w:t>
      </w:r>
    </w:p>
    <w:p w14:paraId="08B3A04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p>
    <w:p w14:paraId="5ADB041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注：供应商对其提供的本国产品按照《深圳市财政局关于贯彻落实政府采购本国产品标准及相关政策的通知》（深财购〔2025〕69号）中的格式要求，出具《关于符合本国产品标准的声明函》。</w:t>
      </w:r>
    </w:p>
    <w:p w14:paraId="78DCB614">
      <w:pPr>
        <w:jc w:val="center"/>
        <w:rPr>
          <w:rFonts w:hint="eastAsia" w:asciiTheme="minorEastAsia" w:hAnsiTheme="minorEastAsia" w:cstheme="minorEastAsia"/>
          <w:b/>
          <w:bCs/>
          <w:sz w:val="28"/>
          <w:szCs w:val="28"/>
          <w:lang w:eastAsia="zh-CN"/>
        </w:rPr>
      </w:pPr>
    </w:p>
    <w:p w14:paraId="1D29C215">
      <w:pPr>
        <w:jc w:val="center"/>
        <w:rPr>
          <w:rFonts w:hint="eastAsia" w:asciiTheme="minorEastAsia" w:hAnsiTheme="minorEastAsia" w:cstheme="minorEastAsia"/>
          <w:b/>
          <w:bCs/>
          <w:sz w:val="28"/>
          <w:szCs w:val="28"/>
          <w:lang w:eastAsia="zh-CN"/>
        </w:rPr>
      </w:pPr>
    </w:p>
    <w:p w14:paraId="5BE22A57">
      <w:pPr>
        <w:jc w:val="center"/>
        <w:rPr>
          <w:rFonts w:hint="eastAsia" w:asciiTheme="minorEastAsia" w:hAnsiTheme="minorEastAsia" w:cstheme="minorEastAsia"/>
          <w:b/>
          <w:bCs/>
          <w:sz w:val="28"/>
          <w:szCs w:val="28"/>
          <w:lang w:eastAsia="zh-CN"/>
        </w:rPr>
      </w:pPr>
    </w:p>
    <w:p w14:paraId="6E6FCFC3">
      <w:pPr>
        <w:jc w:val="center"/>
        <w:rPr>
          <w:rFonts w:hint="eastAsia" w:cs="宋体" w:asciiTheme="majorEastAsia" w:hAnsiTheme="majorEastAsia" w:eastAsiaTheme="majorEastAsia"/>
          <w:kern w:val="2"/>
          <w:sz w:val="30"/>
          <w:szCs w:val="30"/>
          <w:lang w:val="en-US" w:eastAsia="zh-CN" w:bidi="ar-SA"/>
        </w:rPr>
      </w:pPr>
    </w:p>
    <w:p w14:paraId="0F33104E">
      <w:pPr>
        <w:jc w:val="center"/>
        <w:rPr>
          <w:rFonts w:hint="eastAsia" w:cs="宋体" w:asciiTheme="majorEastAsia" w:hAnsiTheme="majorEastAsia" w:eastAsiaTheme="majorEastAsia"/>
          <w:kern w:val="2"/>
          <w:sz w:val="30"/>
          <w:szCs w:val="30"/>
          <w:lang w:val="en-US" w:eastAsia="zh-CN" w:bidi="ar-SA"/>
        </w:rPr>
      </w:pPr>
    </w:p>
    <w:p w14:paraId="6620A26F">
      <w:pPr>
        <w:jc w:val="center"/>
        <w:rPr>
          <w:rFonts w:hint="eastAsia" w:cs="宋体" w:asciiTheme="majorEastAsia" w:hAnsiTheme="majorEastAsia" w:eastAsiaTheme="majorEastAsia"/>
          <w:kern w:val="2"/>
          <w:sz w:val="30"/>
          <w:szCs w:val="30"/>
          <w:lang w:val="en-US" w:eastAsia="zh-CN" w:bidi="ar-SA"/>
        </w:rPr>
      </w:pPr>
    </w:p>
    <w:p w14:paraId="5FF718F7">
      <w:pPr>
        <w:jc w:val="center"/>
        <w:outlineLvl w:val="0"/>
        <w:rPr>
          <w:rFonts w:hint="default" w:cs="宋体" w:asciiTheme="majorEastAsia" w:hAnsiTheme="majorEastAsia" w:eastAsiaTheme="majorEastAsia"/>
          <w:kern w:val="2"/>
          <w:sz w:val="30"/>
          <w:szCs w:val="30"/>
          <w:lang w:val="en-US" w:eastAsia="zh-CN" w:bidi="ar-SA"/>
        </w:rPr>
      </w:pPr>
      <w:bookmarkStart w:id="33" w:name="_Toc29547"/>
      <w:r>
        <w:rPr>
          <w:rFonts w:hint="eastAsia" w:cs="宋体" w:asciiTheme="majorEastAsia" w:hAnsiTheme="majorEastAsia" w:eastAsiaTheme="majorEastAsia"/>
          <w:kern w:val="2"/>
          <w:sz w:val="30"/>
          <w:szCs w:val="30"/>
          <w:lang w:val="en-US" w:eastAsia="zh-CN" w:bidi="ar-SA"/>
        </w:rPr>
        <w:t>（九）福田区第二人民医院</w:t>
      </w:r>
      <w:bookmarkEnd w:id="33"/>
      <w:r>
        <w:rPr>
          <w:rFonts w:hint="eastAsia" w:cs="宋体" w:asciiTheme="majorEastAsia" w:hAnsiTheme="majorEastAsia" w:eastAsiaTheme="majorEastAsia"/>
          <w:kern w:val="2"/>
          <w:sz w:val="30"/>
          <w:szCs w:val="30"/>
          <w:lang w:val="en-US" w:eastAsia="zh-CN" w:bidi="ar-SA"/>
        </w:rPr>
        <w:t>开标一览表</w:t>
      </w:r>
    </w:p>
    <w:p w14:paraId="0F8F2EE2">
      <w:pPr>
        <w:rPr>
          <w:rFonts w:hint="eastAsia" w:ascii="宋体" w:hAnsi="宋体"/>
          <w:szCs w:val="21"/>
        </w:rPr>
      </w:pPr>
    </w:p>
    <w:p w14:paraId="453E124E">
      <w:pPr>
        <w:rPr>
          <w:rFonts w:asciiTheme="minorEastAsia" w:hAnsiTheme="minorEastAsia" w:cstheme="minorEastAsia"/>
          <w:szCs w:val="21"/>
        </w:rPr>
      </w:pPr>
      <w:r>
        <w:rPr>
          <w:rFonts w:hint="eastAsia" w:ascii="宋体" w:hAnsi="宋体"/>
          <w:szCs w:val="21"/>
        </w:rPr>
        <w:t xml:space="preserve">供应商名称：                                             </w:t>
      </w:r>
      <w:r>
        <w:rPr>
          <w:rFonts w:hint="eastAsia" w:asciiTheme="minorEastAsia" w:hAnsiTheme="minorEastAsia" w:cstheme="minorEastAsia"/>
          <w:szCs w:val="21"/>
        </w:rPr>
        <w:t>单位：人民币元</w:t>
      </w:r>
    </w:p>
    <w:tbl>
      <w:tblPr>
        <w:tblStyle w:val="17"/>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75"/>
        <w:gridCol w:w="1380"/>
        <w:gridCol w:w="885"/>
        <w:gridCol w:w="1080"/>
        <w:gridCol w:w="675"/>
        <w:gridCol w:w="660"/>
        <w:gridCol w:w="645"/>
        <w:gridCol w:w="915"/>
        <w:gridCol w:w="1320"/>
        <w:gridCol w:w="1185"/>
        <w:gridCol w:w="570"/>
      </w:tblGrid>
      <w:tr w14:paraId="7C59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0B2C8F68">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序号</w:t>
            </w:r>
          </w:p>
        </w:tc>
        <w:tc>
          <w:tcPr>
            <w:tcW w:w="675" w:type="dxa"/>
            <w:tcBorders>
              <w:top w:val="single" w:color="auto" w:sz="4" w:space="0"/>
              <w:left w:val="single" w:color="auto" w:sz="4" w:space="0"/>
              <w:bottom w:val="single" w:color="auto" w:sz="4" w:space="0"/>
              <w:right w:val="single" w:color="auto" w:sz="4" w:space="0"/>
            </w:tcBorders>
            <w:vAlign w:val="center"/>
          </w:tcPr>
          <w:p w14:paraId="6A315424">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项目名称</w:t>
            </w:r>
          </w:p>
        </w:tc>
        <w:tc>
          <w:tcPr>
            <w:tcW w:w="1380" w:type="dxa"/>
            <w:tcBorders>
              <w:top w:val="single" w:color="auto" w:sz="4" w:space="0"/>
              <w:left w:val="single" w:color="auto" w:sz="4" w:space="0"/>
              <w:bottom w:val="single" w:color="auto" w:sz="4" w:space="0"/>
              <w:right w:val="single" w:color="auto" w:sz="4" w:space="0"/>
            </w:tcBorders>
            <w:vAlign w:val="center"/>
          </w:tcPr>
          <w:p w14:paraId="51757965">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产品名称（注册证名称）</w:t>
            </w:r>
          </w:p>
        </w:tc>
        <w:tc>
          <w:tcPr>
            <w:tcW w:w="885" w:type="dxa"/>
            <w:tcBorders>
              <w:top w:val="single" w:color="auto" w:sz="4" w:space="0"/>
              <w:left w:val="single" w:color="auto" w:sz="4" w:space="0"/>
              <w:bottom w:val="single" w:color="auto" w:sz="4" w:space="0"/>
              <w:right w:val="single" w:color="auto" w:sz="4" w:space="0"/>
            </w:tcBorders>
            <w:vAlign w:val="center"/>
          </w:tcPr>
          <w:p w14:paraId="05B1350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产品注册证号</w:t>
            </w:r>
          </w:p>
        </w:tc>
        <w:tc>
          <w:tcPr>
            <w:tcW w:w="1080" w:type="dxa"/>
            <w:tcBorders>
              <w:top w:val="single" w:color="auto" w:sz="4" w:space="0"/>
              <w:left w:val="single" w:color="auto" w:sz="4" w:space="0"/>
              <w:bottom w:val="single" w:color="auto" w:sz="4" w:space="0"/>
              <w:right w:val="single" w:color="auto" w:sz="4" w:space="0"/>
            </w:tcBorders>
            <w:vAlign w:val="center"/>
          </w:tcPr>
          <w:p w14:paraId="3826FE36">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品牌及规格型号</w:t>
            </w:r>
          </w:p>
        </w:tc>
        <w:tc>
          <w:tcPr>
            <w:tcW w:w="675" w:type="dxa"/>
            <w:tcBorders>
              <w:top w:val="single" w:color="auto" w:sz="4" w:space="0"/>
              <w:left w:val="single" w:color="auto" w:sz="4" w:space="0"/>
              <w:bottom w:val="single" w:color="auto" w:sz="4" w:space="0"/>
              <w:right w:val="single" w:color="auto" w:sz="4" w:space="0"/>
            </w:tcBorders>
            <w:vAlign w:val="center"/>
          </w:tcPr>
          <w:p w14:paraId="07105EE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包装规格</w:t>
            </w:r>
          </w:p>
        </w:tc>
        <w:tc>
          <w:tcPr>
            <w:tcW w:w="660" w:type="dxa"/>
            <w:tcBorders>
              <w:top w:val="single" w:color="auto" w:sz="4" w:space="0"/>
              <w:left w:val="single" w:color="auto" w:sz="4" w:space="0"/>
              <w:bottom w:val="single" w:color="auto" w:sz="4" w:space="0"/>
              <w:right w:val="single" w:color="auto" w:sz="4" w:space="0"/>
            </w:tcBorders>
            <w:vAlign w:val="center"/>
          </w:tcPr>
          <w:p w14:paraId="103027C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生产企业</w:t>
            </w:r>
          </w:p>
        </w:tc>
        <w:tc>
          <w:tcPr>
            <w:tcW w:w="645" w:type="dxa"/>
            <w:tcBorders>
              <w:top w:val="single" w:color="auto" w:sz="4" w:space="0"/>
              <w:left w:val="single" w:color="auto" w:sz="4" w:space="0"/>
              <w:bottom w:val="single" w:color="auto" w:sz="4" w:space="0"/>
              <w:right w:val="single" w:color="auto" w:sz="4" w:space="0"/>
            </w:tcBorders>
            <w:vAlign w:val="center"/>
          </w:tcPr>
          <w:p w14:paraId="78333A58">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报价单位</w:t>
            </w:r>
          </w:p>
        </w:tc>
        <w:tc>
          <w:tcPr>
            <w:tcW w:w="915" w:type="dxa"/>
            <w:tcBorders>
              <w:top w:val="single" w:color="auto" w:sz="4" w:space="0"/>
              <w:left w:val="single" w:color="auto" w:sz="4" w:space="0"/>
              <w:bottom w:val="single" w:color="auto" w:sz="4" w:space="0"/>
              <w:right w:val="single" w:color="auto" w:sz="4" w:space="0"/>
            </w:tcBorders>
            <w:vAlign w:val="center"/>
          </w:tcPr>
          <w:p w14:paraId="480FBE9D">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投标价（元）</w:t>
            </w:r>
          </w:p>
        </w:tc>
        <w:tc>
          <w:tcPr>
            <w:tcW w:w="1320" w:type="dxa"/>
            <w:tcBorders>
              <w:top w:val="single" w:color="auto" w:sz="4" w:space="0"/>
              <w:left w:val="single" w:color="auto" w:sz="4" w:space="0"/>
              <w:bottom w:val="single" w:color="auto" w:sz="4" w:space="0"/>
              <w:right w:val="single" w:color="auto" w:sz="4" w:space="0"/>
            </w:tcBorders>
            <w:vAlign w:val="center"/>
          </w:tcPr>
          <w:p w14:paraId="7CBF9A12">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目前在用二甲以上医院客户名单</w:t>
            </w:r>
          </w:p>
        </w:tc>
        <w:tc>
          <w:tcPr>
            <w:tcW w:w="1185" w:type="dxa"/>
            <w:tcBorders>
              <w:top w:val="single" w:color="auto" w:sz="4" w:space="0"/>
              <w:left w:val="single" w:color="auto" w:sz="4" w:space="0"/>
              <w:bottom w:val="single" w:color="auto" w:sz="4" w:space="0"/>
              <w:right w:val="single" w:color="auto" w:sz="4" w:space="0"/>
            </w:tcBorders>
            <w:vAlign w:val="center"/>
          </w:tcPr>
          <w:p w14:paraId="3262CC5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二甲以上医院供货价格</w:t>
            </w:r>
          </w:p>
        </w:tc>
        <w:tc>
          <w:tcPr>
            <w:tcW w:w="570" w:type="dxa"/>
            <w:tcBorders>
              <w:top w:val="single" w:color="auto" w:sz="4" w:space="0"/>
              <w:left w:val="single" w:color="auto" w:sz="4" w:space="0"/>
              <w:bottom w:val="single" w:color="auto" w:sz="4" w:space="0"/>
              <w:right w:val="single" w:color="auto" w:sz="4" w:space="0"/>
            </w:tcBorders>
            <w:vAlign w:val="center"/>
          </w:tcPr>
          <w:p w14:paraId="49454E65">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备注</w:t>
            </w:r>
          </w:p>
        </w:tc>
      </w:tr>
      <w:tr w14:paraId="416C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57709F06">
            <w:pPr>
              <w:spacing w:line="400" w:lineRule="exact"/>
              <w:jc w:val="center"/>
              <w:rPr>
                <w:rFonts w:ascii="宋体" w:hAnsi="宋体"/>
                <w:bCs/>
                <w:szCs w:val="21"/>
              </w:rPr>
            </w:pPr>
            <w:r>
              <w:rPr>
                <w:rFonts w:hint="eastAsia" w:ascii="宋体" w:hAnsi="宋体"/>
                <w:bCs/>
                <w:szCs w:val="21"/>
              </w:rPr>
              <w:t>1</w:t>
            </w:r>
          </w:p>
        </w:tc>
        <w:tc>
          <w:tcPr>
            <w:tcW w:w="675" w:type="dxa"/>
            <w:tcBorders>
              <w:top w:val="single" w:color="auto" w:sz="4" w:space="0"/>
              <w:left w:val="single" w:color="auto" w:sz="4" w:space="0"/>
              <w:bottom w:val="single" w:color="auto" w:sz="4" w:space="0"/>
              <w:right w:val="single" w:color="auto" w:sz="4" w:space="0"/>
            </w:tcBorders>
            <w:vAlign w:val="center"/>
          </w:tcPr>
          <w:p w14:paraId="2BBAD9A9">
            <w:pPr>
              <w:spacing w:line="400" w:lineRule="exact"/>
              <w:jc w:val="center"/>
              <w:rPr>
                <w:rFonts w:ascii="宋体" w:hAnsi="宋体"/>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578D0D0B">
            <w:pPr>
              <w:spacing w:line="400" w:lineRule="exact"/>
              <w:jc w:val="center"/>
              <w:rPr>
                <w:rFonts w:ascii="宋体" w:hAnsi="宋体"/>
                <w:sz w:val="18"/>
                <w:szCs w:val="18"/>
              </w:rPr>
            </w:pPr>
          </w:p>
        </w:tc>
        <w:tc>
          <w:tcPr>
            <w:tcW w:w="885" w:type="dxa"/>
            <w:tcBorders>
              <w:top w:val="single" w:color="auto" w:sz="4" w:space="0"/>
              <w:left w:val="single" w:color="auto" w:sz="4" w:space="0"/>
              <w:bottom w:val="single" w:color="auto" w:sz="4" w:space="0"/>
              <w:right w:val="single" w:color="auto" w:sz="4" w:space="0"/>
            </w:tcBorders>
            <w:vAlign w:val="center"/>
          </w:tcPr>
          <w:p w14:paraId="57ECADB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2C7424D">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B958EE8">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3C70B8F">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A1A1375">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7D8D7398">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7C29BA6E">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7F2CF7E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EB1D4F6">
            <w:pPr>
              <w:widowControl/>
              <w:jc w:val="center"/>
              <w:rPr>
                <w:rFonts w:ascii="宋体" w:hAnsi="宋体"/>
                <w:sz w:val="18"/>
                <w:szCs w:val="18"/>
              </w:rPr>
            </w:pPr>
          </w:p>
        </w:tc>
      </w:tr>
      <w:tr w14:paraId="61EE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4258B820">
            <w:pPr>
              <w:spacing w:line="400" w:lineRule="exact"/>
              <w:jc w:val="center"/>
              <w:rPr>
                <w:color w:val="000000"/>
              </w:rPr>
            </w:pPr>
            <w:r>
              <w:rPr>
                <w:color w:val="000000"/>
              </w:rPr>
              <w:t>2</w:t>
            </w:r>
          </w:p>
        </w:tc>
        <w:tc>
          <w:tcPr>
            <w:tcW w:w="675" w:type="dxa"/>
            <w:tcBorders>
              <w:top w:val="single" w:color="auto" w:sz="4" w:space="0"/>
              <w:left w:val="single" w:color="auto" w:sz="4" w:space="0"/>
              <w:bottom w:val="single" w:color="auto" w:sz="4" w:space="0"/>
              <w:right w:val="single" w:color="auto" w:sz="4" w:space="0"/>
            </w:tcBorders>
            <w:vAlign w:val="center"/>
          </w:tcPr>
          <w:p w14:paraId="14851A80">
            <w:pPr>
              <w:spacing w:line="400" w:lineRule="exact"/>
              <w:jc w:val="center"/>
              <w:rPr>
                <w:rFonts w:ascii="宋体" w:hAnsi="宋体"/>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0F70BF1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058FB75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5060AEC">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0651428A">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05BEE9F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72B09A68">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5A08E9E0">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5B90957A">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D252DA2">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53CA792">
            <w:pPr>
              <w:widowControl/>
              <w:jc w:val="center"/>
              <w:rPr>
                <w:rFonts w:ascii="宋体" w:hAnsi="宋体"/>
                <w:sz w:val="18"/>
                <w:szCs w:val="18"/>
              </w:rPr>
            </w:pPr>
          </w:p>
        </w:tc>
      </w:tr>
      <w:tr w14:paraId="1C5D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37F6462D">
            <w:pPr>
              <w:spacing w:line="400" w:lineRule="exact"/>
              <w:jc w:val="center"/>
              <w:rPr>
                <w:rFonts w:ascii="宋体" w:hAnsi="宋体"/>
                <w:bCs/>
                <w:szCs w:val="21"/>
              </w:rPr>
            </w:pPr>
            <w:r>
              <w:rPr>
                <w:color w:val="000000"/>
              </w:rPr>
              <w:t>3</w:t>
            </w:r>
          </w:p>
        </w:tc>
        <w:tc>
          <w:tcPr>
            <w:tcW w:w="675" w:type="dxa"/>
            <w:tcBorders>
              <w:top w:val="single" w:color="auto" w:sz="4" w:space="0"/>
              <w:left w:val="single" w:color="auto" w:sz="4" w:space="0"/>
              <w:bottom w:val="single" w:color="auto" w:sz="4" w:space="0"/>
              <w:right w:val="single" w:color="auto" w:sz="4" w:space="0"/>
            </w:tcBorders>
            <w:vAlign w:val="center"/>
          </w:tcPr>
          <w:p w14:paraId="54199F7B">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7F61DA2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11598448">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92CC26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3C175DD">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2C620B9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9292FD1">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6B0D1ECA">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6C551E33">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0352219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FB5C668">
            <w:pPr>
              <w:jc w:val="center"/>
            </w:pPr>
          </w:p>
        </w:tc>
      </w:tr>
      <w:tr w14:paraId="6C16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22C5CC02">
            <w:pPr>
              <w:spacing w:line="400" w:lineRule="exact"/>
              <w:jc w:val="center"/>
              <w:rPr>
                <w:color w:val="000000"/>
              </w:rPr>
            </w:pPr>
            <w:r>
              <w:rPr>
                <w:rFonts w:hint="eastAsia"/>
                <w:szCs w:val="21"/>
              </w:rPr>
              <w:t>…</w:t>
            </w:r>
          </w:p>
        </w:tc>
        <w:tc>
          <w:tcPr>
            <w:tcW w:w="675" w:type="dxa"/>
            <w:tcBorders>
              <w:top w:val="single" w:color="auto" w:sz="4" w:space="0"/>
              <w:left w:val="single" w:color="auto" w:sz="4" w:space="0"/>
              <w:bottom w:val="single" w:color="auto" w:sz="4" w:space="0"/>
              <w:right w:val="single" w:color="auto" w:sz="4" w:space="0"/>
            </w:tcBorders>
            <w:vAlign w:val="center"/>
          </w:tcPr>
          <w:p w14:paraId="52B73993">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4E2C5948">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38342B62">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E34E39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2C4CEEEC">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C8A196A">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6C7A4D0C">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348F97A5">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03A688E0">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118AD4E">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9045130">
            <w:pPr>
              <w:jc w:val="center"/>
            </w:pPr>
          </w:p>
        </w:tc>
      </w:tr>
    </w:tbl>
    <w:p w14:paraId="50FE53AD">
      <w:pPr>
        <w:spacing w:afterLines="25" w:line="300" w:lineRule="auto"/>
        <w:ind w:left="4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5B267BE8">
      <w:pPr>
        <w:spacing w:afterLines="25" w:line="300" w:lineRule="auto"/>
        <w:ind w:left="420"/>
        <w:jc w:val="center"/>
        <w:rPr>
          <w:rFonts w:ascii="宋体" w:hAnsi="宋体" w:cs="宋体"/>
          <w:color w:val="000000" w:themeColor="text1"/>
          <w:szCs w:val="21"/>
          <w14:textFill>
            <w14:solidFill>
              <w14:schemeClr w14:val="tx1"/>
            </w14:solidFill>
          </w14:textFill>
        </w:rPr>
      </w:pPr>
    </w:p>
    <w:p w14:paraId="1F762CCB">
      <w:pPr>
        <w:spacing w:afterLines="25" w:line="300" w:lineRule="auto"/>
        <w:ind w:left="420"/>
        <w:jc w:val="center"/>
        <w:rPr>
          <w:rFonts w:ascii="宋体" w:hAnsi="宋体" w:cs="宋体"/>
          <w:color w:val="000000" w:themeColor="text1"/>
          <w:szCs w:val="21"/>
          <w14:textFill>
            <w14:solidFill>
              <w14:schemeClr w14:val="tx1"/>
            </w14:solidFill>
          </w14:textFill>
        </w:rPr>
      </w:pPr>
    </w:p>
    <w:p w14:paraId="09EEE92E">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 xml:space="preserve">投标人签字：                     </w:t>
      </w:r>
    </w:p>
    <w:p w14:paraId="29EA61B3">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 xml:space="preserve">投标人单位名称：                             </w:t>
      </w:r>
    </w:p>
    <w:p w14:paraId="3FFA5A34">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（此处加盖投标人单位公章）</w:t>
      </w:r>
    </w:p>
    <w:p w14:paraId="5D7E3D54">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日期：       年     月    日</w:t>
      </w:r>
    </w:p>
    <w:p w14:paraId="3F03FEE9">
      <w:pPr>
        <w:spacing w:line="400" w:lineRule="exact"/>
        <w:jc w:val="left"/>
        <w:rPr>
          <w:rFonts w:hint="eastAsia" w:ascii="宋体" w:hAnsi="宋体" w:eastAsia="宋体" w:cs="宋体"/>
          <w:b w:val="0"/>
          <w:bCs/>
          <w:szCs w:val="21"/>
          <w:lang w:eastAsia="zh-CN"/>
        </w:rPr>
      </w:pPr>
    </w:p>
    <w:p w14:paraId="29AA90E5">
      <w:pPr>
        <w:spacing w:line="400" w:lineRule="exact"/>
        <w:rPr>
          <w:rFonts w:ascii="宋体" w:hAnsi="宋体"/>
          <w:szCs w:val="21"/>
        </w:rPr>
      </w:pPr>
      <w:r>
        <w:rPr>
          <w:rFonts w:hint="eastAsia" w:ascii="宋体" w:hAnsi="宋体"/>
          <w:szCs w:val="21"/>
        </w:rPr>
        <w:t>备注：</w:t>
      </w:r>
    </w:p>
    <w:p w14:paraId="0226C8E6">
      <w:pPr>
        <w:numPr>
          <w:ilvl w:val="1"/>
          <w:numId w:val="14"/>
        </w:numPr>
        <w:tabs>
          <w:tab w:val="left" w:pos="360"/>
          <w:tab w:val="left" w:pos="840"/>
          <w:tab w:val="clear" w:pos="1620"/>
        </w:tabs>
        <w:snapToGrid w:val="0"/>
        <w:spacing w:line="360" w:lineRule="auto"/>
        <w:ind w:left="360"/>
      </w:pPr>
      <w:r>
        <w:rPr>
          <w:rFonts w:hint="eastAsia"/>
        </w:rPr>
        <w:t>除</w:t>
      </w:r>
      <w:r>
        <w:rPr>
          <w:rFonts w:hint="eastAsia"/>
          <w:lang w:eastAsia="zh-CN"/>
        </w:rPr>
        <w:t>征集</w:t>
      </w:r>
      <w:r>
        <w:rPr>
          <w:rFonts w:hint="eastAsia"/>
        </w:rPr>
        <w:t>文件另有规定外，投标文件内不得含有任何对本报价进行价格折扣的说明或资料，否则为无效投标。</w:t>
      </w:r>
    </w:p>
    <w:p w14:paraId="63A99683">
      <w:pPr>
        <w:numPr>
          <w:ilvl w:val="1"/>
          <w:numId w:val="14"/>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不得超过用户需求书的最小单位预算价格，否则为无效投标</w:t>
      </w:r>
      <w:r>
        <w:rPr>
          <w:rFonts w:hint="eastAsia"/>
        </w:rPr>
        <w:t>。</w:t>
      </w:r>
    </w:p>
    <w:p w14:paraId="2B15EBBF">
      <w:pPr>
        <w:numPr>
          <w:ilvl w:val="1"/>
          <w:numId w:val="14"/>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4"/>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4"/>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4"/>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文件已要求提供核心产品的，供应商必须明确所投核心产品的品牌。</w:t>
      </w:r>
    </w:p>
    <w:p w14:paraId="08352BC2">
      <w:pPr>
        <w:spacing w:afterLines="25" w:line="300" w:lineRule="auto"/>
        <w:ind w:left="420"/>
        <w:jc w:val="left"/>
        <w:rPr>
          <w:rFonts w:hint="eastAsia" w:asciiTheme="minorEastAsia" w:hAnsiTheme="minorEastAsia" w:eastAsiaTheme="minorEastAsia"/>
          <w:szCs w:val="21"/>
          <w:lang w:eastAsia="zh-CN"/>
        </w:rPr>
      </w:pPr>
    </w:p>
    <w:p w14:paraId="4E7EE131">
      <w:pPr>
        <w:spacing w:afterLines="25" w:line="300" w:lineRule="auto"/>
        <w:ind w:left="420"/>
        <w:jc w:val="left"/>
        <w:rPr>
          <w:rFonts w:hint="eastAsia" w:asciiTheme="minorEastAsia" w:hAnsiTheme="minorEastAsia" w:eastAsiaTheme="minorEastAsia"/>
          <w:szCs w:val="21"/>
          <w:lang w:eastAsia="zh-CN"/>
        </w:rPr>
      </w:pP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34" w:name="_Toc18915"/>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技术规格</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主要需求</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偏离表</w:t>
      </w:r>
      <w:bookmarkEnd w:id="34"/>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7"/>
        <w:tblW w:w="9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30" w:type="dxa"/>
            <w:shd w:val="clear" w:color="auto" w:fill="EAF1DD" w:themeFill="accent3" w:themeFillTint="33"/>
            <w:vAlign w:val="center"/>
          </w:tcPr>
          <w:p w14:paraId="481DAB5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eastAsiaTheme="minorEastAsia"/>
                <w:color w:val="auto"/>
                <w:szCs w:val="21"/>
              </w:rPr>
              <w:t>序号</w:t>
            </w:r>
          </w:p>
        </w:tc>
        <w:tc>
          <w:tcPr>
            <w:tcW w:w="830" w:type="dxa"/>
            <w:shd w:val="clear" w:color="auto" w:fill="EAF1DD" w:themeFill="accent3" w:themeFillTint="33"/>
            <w:vAlign w:val="center"/>
          </w:tcPr>
          <w:p w14:paraId="5FB9D4F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货品名称</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征集技术要求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证明文件</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4414953">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1</w:t>
            </w:r>
          </w:p>
        </w:tc>
        <w:tc>
          <w:tcPr>
            <w:tcW w:w="830" w:type="dxa"/>
            <w:vAlign w:val="center"/>
          </w:tcPr>
          <w:p w14:paraId="51285671">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1D6455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7CDBD0A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2</w:t>
            </w:r>
          </w:p>
        </w:tc>
        <w:tc>
          <w:tcPr>
            <w:tcW w:w="830" w:type="dxa"/>
            <w:vAlign w:val="center"/>
          </w:tcPr>
          <w:p w14:paraId="16343483">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DF9696A">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559E886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3</w:t>
            </w:r>
          </w:p>
        </w:tc>
        <w:tc>
          <w:tcPr>
            <w:tcW w:w="830" w:type="dxa"/>
            <w:vAlign w:val="center"/>
          </w:tcPr>
          <w:p w14:paraId="778A6E0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EFB38CE">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88C66C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4</w:t>
            </w:r>
          </w:p>
        </w:tc>
        <w:tc>
          <w:tcPr>
            <w:tcW w:w="830" w:type="dxa"/>
            <w:vAlign w:val="center"/>
          </w:tcPr>
          <w:p w14:paraId="212791F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3D4E48A8">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009DD5D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5</w:t>
            </w:r>
          </w:p>
        </w:tc>
        <w:tc>
          <w:tcPr>
            <w:tcW w:w="830" w:type="dxa"/>
            <w:vAlign w:val="center"/>
          </w:tcPr>
          <w:p w14:paraId="77CEAF63">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015303A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63127AB0">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6</w:t>
            </w:r>
          </w:p>
        </w:tc>
        <w:tc>
          <w:tcPr>
            <w:tcW w:w="830" w:type="dxa"/>
            <w:vAlign w:val="center"/>
          </w:tcPr>
          <w:p w14:paraId="73B101DF">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67486C06">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30" w:type="dxa"/>
            <w:shd w:val="clear" w:color="auto" w:fill="auto"/>
            <w:vAlign w:val="center"/>
          </w:tcPr>
          <w:p w14:paraId="3136F83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w:t>
            </w:r>
          </w:p>
        </w:tc>
        <w:tc>
          <w:tcPr>
            <w:tcW w:w="830" w:type="dxa"/>
            <w:vAlign w:val="center"/>
          </w:tcPr>
          <w:p w14:paraId="44DBDA39">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47EF327">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征集</w:t>
      </w:r>
      <w:r>
        <w:rPr>
          <w:rFonts w:hint="eastAsia" w:ascii="宋体" w:hAnsi="宋体"/>
          <w:szCs w:val="21"/>
        </w:rPr>
        <w:t>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5A12BB44">
      <w:pPr>
        <w:rPr>
          <w:color w:val="000000"/>
        </w:rPr>
      </w:pPr>
    </w:p>
    <w:p w14:paraId="0871B203">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2970BA39">
      <w:pPr>
        <w:spacing w:after="6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551E94B8">
      <w:pPr>
        <w:spacing w:after="60"/>
        <w:ind w:firstLine="2100" w:firstLineChars="1000"/>
        <w:jc w:val="both"/>
        <w:rPr>
          <w:rFonts w:hint="eastAsia" w:cs="Arial"/>
          <w:b/>
          <w:color w:val="000000"/>
          <w:sz w:val="28"/>
          <w:szCs w:val="28"/>
        </w:rPr>
      </w:pPr>
      <w:r>
        <w:rPr>
          <w:rFonts w:hint="eastAsia" w:ascii="宋体" w:hAnsi="宋体" w:cs="宋体"/>
          <w:color w:val="000000" w:themeColor="text1"/>
          <w:szCs w:val="21"/>
          <w14:textFill>
            <w14:solidFill>
              <w14:schemeClr w14:val="tx1"/>
            </w14:solidFill>
          </w14:textFill>
        </w:rPr>
        <w:t xml:space="preserve">  </w:t>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5" w:name="_Toc29077"/>
      <w:bookmarkStart w:id="36" w:name="_Toc275865605"/>
      <w:bookmarkStart w:id="37" w:name="_Toc435515294"/>
      <w:bookmarkStart w:id="38" w:name="_Toc9447"/>
      <w:bookmarkStart w:id="39" w:name="_Toc1762"/>
      <w:bookmarkStart w:id="40" w:name="_Toc435514854"/>
      <w:bookmarkStart w:id="41" w:name="_Toc24434"/>
      <w:bookmarkStart w:id="42" w:name="_Toc20322_WPSOffice_Level1"/>
      <w:r>
        <w:rPr>
          <w:rFonts w:hint="eastAsia" w:cs="宋体" w:asciiTheme="majorEastAsia" w:hAnsiTheme="majorEastAsia" w:eastAsiaTheme="majorEastAsia"/>
          <w:kern w:val="2"/>
          <w:sz w:val="30"/>
          <w:szCs w:val="30"/>
          <w:lang w:val="en-US" w:eastAsia="zh-CN" w:bidi="ar-SA"/>
        </w:rPr>
        <w:t>（十一）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35"/>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商务要求中的</w:t>
      </w:r>
      <w:r>
        <w:rPr>
          <w:rFonts w:hint="eastAsia" w:ascii="宋体" w:hAnsi="宋体"/>
        </w:rPr>
        <w:t>条款逐条应答并按要求填写下表。</w:t>
      </w:r>
    </w:p>
    <w:tbl>
      <w:tblPr>
        <w:tblStyle w:val="17"/>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征集</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征集</w:t>
      </w:r>
      <w:r>
        <w:rPr>
          <w:rFonts w:hint="eastAsia" w:ascii="宋体" w:hAnsi="宋体"/>
          <w:szCs w:val="21"/>
        </w:rPr>
        <w:t>商务要求”，详细填写自身响应情况，而不能不合理照搬照抄</w:t>
      </w:r>
      <w:r>
        <w:rPr>
          <w:rFonts w:hint="eastAsia" w:ascii="宋体" w:hAnsi="宋体"/>
          <w:szCs w:val="21"/>
          <w:lang w:eastAsia="zh-CN"/>
        </w:rPr>
        <w:t>征集</w:t>
      </w:r>
      <w:r>
        <w:rPr>
          <w:rFonts w:hint="eastAsia" w:ascii="宋体" w:hAnsi="宋体"/>
          <w:szCs w:val="21"/>
        </w:rPr>
        <w:t>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征集</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征集</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征集</w:t>
      </w:r>
      <w:r>
        <w:rPr>
          <w:rFonts w:hint="eastAsia" w:ascii="宋体" w:hAnsi="宋体"/>
          <w:szCs w:val="21"/>
        </w:rPr>
        <w:t>商务要求”存在响应不全（包括未响应整项</w:t>
      </w:r>
      <w:r>
        <w:rPr>
          <w:rFonts w:hint="eastAsia" w:ascii="宋体" w:hAnsi="宋体"/>
          <w:szCs w:val="21"/>
          <w:lang w:eastAsia="zh-CN"/>
        </w:rPr>
        <w:t>征集</w:t>
      </w:r>
      <w:r>
        <w:rPr>
          <w:rFonts w:hint="eastAsia" w:ascii="宋体" w:hAnsi="宋体"/>
          <w:szCs w:val="21"/>
        </w:rPr>
        <w:t>商务要求或者未响应一项</w:t>
      </w:r>
      <w:r>
        <w:rPr>
          <w:rFonts w:hint="eastAsia" w:ascii="宋体" w:hAnsi="宋体"/>
          <w:szCs w:val="21"/>
          <w:lang w:eastAsia="zh-CN"/>
        </w:rPr>
        <w:t>征集</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21E48A7">
      <w:pPr>
        <w:keepNext/>
        <w:keepLines/>
        <w:widowControl w:val="0"/>
        <w:numPr>
          <w:ilvl w:val="0"/>
          <w:numId w:val="0"/>
        </w:numPr>
        <w:spacing w:line="240" w:lineRule="auto"/>
        <w:jc w:val="center"/>
        <w:outlineLvl w:val="9"/>
        <w:rPr>
          <w:rFonts w:hint="eastAsia" w:asciiTheme="majorEastAsia" w:hAnsiTheme="majorEastAsia" w:eastAsiaTheme="majorEastAsia" w:cstheme="minorBidi"/>
          <w:b/>
          <w:kern w:val="44"/>
          <w:sz w:val="30"/>
          <w:szCs w:val="30"/>
          <w:lang w:val="en-US" w:eastAsia="zh-CN" w:bidi="ar-SA"/>
        </w:rPr>
      </w:pPr>
    </w:p>
    <w:p w14:paraId="14CAA0C3">
      <w:pPr>
        <w:rPr>
          <w:rFonts w:hint="eastAsia" w:asciiTheme="majorEastAsia" w:hAnsiTheme="majorEastAsia" w:eastAsiaTheme="majorEastAsia"/>
          <w:sz w:val="30"/>
          <w:szCs w:val="30"/>
          <w:lang w:eastAsia="zh-CN"/>
        </w:rPr>
      </w:pPr>
    </w:p>
    <w:p w14:paraId="27022725">
      <w:pPr>
        <w:rPr>
          <w:rFonts w:hint="eastAsia" w:asciiTheme="majorEastAsia" w:hAnsiTheme="majorEastAsia" w:eastAsiaTheme="majorEastAsia"/>
          <w:sz w:val="30"/>
          <w:szCs w:val="30"/>
          <w:lang w:eastAsia="zh-CN"/>
        </w:rPr>
      </w:pPr>
    </w:p>
    <w:p w14:paraId="6118258B">
      <w:pPr>
        <w:rPr>
          <w:rFonts w:hint="eastAsia"/>
          <w:lang w:eastAsia="zh-CN"/>
        </w:rPr>
      </w:pPr>
    </w:p>
    <w:p w14:paraId="51884ACB">
      <w:pPr>
        <w:pStyle w:val="2"/>
        <w:numPr>
          <w:ilvl w:val="0"/>
          <w:numId w:val="0"/>
        </w:numPr>
        <w:spacing w:line="240" w:lineRule="auto"/>
        <w:jc w:val="center"/>
        <w:rPr>
          <w:rFonts w:hint="eastAsia" w:cs="宋体" w:asciiTheme="majorEastAsia" w:hAnsiTheme="majorEastAsia" w:eastAsiaTheme="majorEastAsia"/>
          <w:b w:val="0"/>
          <w:kern w:val="2"/>
          <w:sz w:val="30"/>
          <w:szCs w:val="30"/>
          <w:lang w:val="en-US" w:eastAsia="zh-CN" w:bidi="ar-SA"/>
        </w:rPr>
      </w:pPr>
      <w:bookmarkStart w:id="43" w:name="_Toc28894"/>
      <w:r>
        <w:rPr>
          <w:rFonts w:hint="eastAsia" w:cs="宋体" w:asciiTheme="majorEastAsia" w:hAnsiTheme="majorEastAsia" w:eastAsiaTheme="majorEastAsia"/>
          <w:b w:val="0"/>
          <w:kern w:val="2"/>
          <w:sz w:val="30"/>
          <w:szCs w:val="30"/>
          <w:lang w:val="en-US" w:eastAsia="zh-CN" w:bidi="ar-SA"/>
        </w:rPr>
        <w:t>（十二）投标函</w:t>
      </w:r>
      <w:bookmarkEnd w:id="36"/>
      <w:bookmarkEnd w:id="37"/>
      <w:bookmarkEnd w:id="38"/>
      <w:bookmarkEnd w:id="39"/>
      <w:bookmarkEnd w:id="40"/>
      <w:bookmarkEnd w:id="41"/>
      <w:bookmarkEnd w:id="42"/>
      <w:bookmarkEnd w:id="43"/>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征集</w:t>
      </w:r>
      <w:r>
        <w:rPr>
          <w:rFonts w:hint="eastAsia" w:ascii="宋体" w:hAnsi="宋体"/>
        </w:rPr>
        <w:t>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5"/>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征集</w:t>
      </w:r>
      <w:r>
        <w:rPr>
          <w:rFonts w:hint="eastAsia" w:ascii="宋体" w:hAnsi="宋体"/>
          <w:b/>
        </w:rPr>
        <w:t>文件的各项规定，自愿参加投标，并已清楚</w:t>
      </w:r>
      <w:r>
        <w:rPr>
          <w:rFonts w:hint="eastAsia" w:ascii="宋体" w:hAnsi="宋体"/>
          <w:b/>
          <w:lang w:eastAsia="zh-CN"/>
        </w:rPr>
        <w:t>征集</w:t>
      </w:r>
      <w:r>
        <w:rPr>
          <w:rFonts w:hint="eastAsia" w:ascii="宋体" w:hAnsi="宋体"/>
          <w:b/>
        </w:rPr>
        <w:t>文件的要求及有关文件规定，并严格按照</w:t>
      </w:r>
      <w:r>
        <w:rPr>
          <w:rFonts w:hint="eastAsia" w:ascii="宋体" w:hAnsi="宋体"/>
          <w:b/>
          <w:lang w:eastAsia="zh-CN"/>
        </w:rPr>
        <w:t>征集</w:t>
      </w:r>
      <w:r>
        <w:rPr>
          <w:rFonts w:hint="eastAsia" w:ascii="宋体" w:hAnsi="宋体"/>
          <w:b/>
        </w:rPr>
        <w:t>文件的规定履行全部责任和义务。</w:t>
      </w:r>
    </w:p>
    <w:p w14:paraId="628A2847">
      <w:pPr>
        <w:numPr>
          <w:ilvl w:val="0"/>
          <w:numId w:val="15"/>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5"/>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5"/>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征集</w:t>
      </w:r>
      <w:r>
        <w:rPr>
          <w:rFonts w:hint="eastAsia" w:ascii="宋体" w:hAnsi="宋体"/>
          <w:b/>
        </w:rPr>
        <w:t>文件及附件，包括澄清（如有）及参考文件，我单位完全理解本</w:t>
      </w:r>
      <w:r>
        <w:rPr>
          <w:rFonts w:hint="eastAsia" w:ascii="宋体" w:hAnsi="宋体"/>
          <w:b/>
          <w:lang w:eastAsia="zh-CN"/>
        </w:rPr>
        <w:t>征集</w:t>
      </w:r>
      <w:r>
        <w:rPr>
          <w:rFonts w:hint="eastAsia" w:ascii="宋体" w:hAnsi="宋体"/>
          <w:b/>
        </w:rPr>
        <w:t>文件的要求，</w:t>
      </w:r>
      <w:r>
        <w:rPr>
          <w:rFonts w:hint="eastAsia" w:ascii="宋体"/>
          <w:b/>
        </w:rPr>
        <w:t>我单位同意放弃对</w:t>
      </w:r>
      <w:r>
        <w:rPr>
          <w:rFonts w:hint="eastAsia" w:ascii="宋体"/>
          <w:b/>
          <w:lang w:eastAsia="zh-CN"/>
        </w:rPr>
        <w:t>征集</w:t>
      </w:r>
      <w:r>
        <w:rPr>
          <w:rFonts w:hint="eastAsia" w:ascii="宋体"/>
          <w:b/>
        </w:rPr>
        <w:t>文件提出不明或误解的一切权力</w:t>
      </w:r>
      <w:r>
        <w:rPr>
          <w:rFonts w:hint="eastAsia" w:ascii="宋体" w:hAnsi="宋体"/>
          <w:b/>
        </w:rPr>
        <w:t>。</w:t>
      </w:r>
    </w:p>
    <w:p w14:paraId="6B072C5B">
      <w:pPr>
        <w:numPr>
          <w:ilvl w:val="0"/>
          <w:numId w:val="15"/>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5"/>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5"/>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征集</w:t>
      </w:r>
      <w:r>
        <w:rPr>
          <w:rFonts w:hint="eastAsia" w:ascii="宋体" w:hAnsi="宋体"/>
          <w:b/>
        </w:rPr>
        <w:t xml:space="preserve">文件全部要求作出实质性响应，则完全同意并接受按无效投标处理。 </w:t>
      </w:r>
    </w:p>
    <w:p w14:paraId="4E34F74F">
      <w:pPr>
        <w:numPr>
          <w:ilvl w:val="0"/>
          <w:numId w:val="15"/>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5"/>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5"/>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5"/>
        </w:numPr>
        <w:tabs>
          <w:tab w:val="clear" w:pos="780"/>
        </w:tabs>
        <w:snapToGrid w:val="0"/>
        <w:spacing w:line="360" w:lineRule="auto"/>
        <w:ind w:left="426"/>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征集</w:t>
      </w:r>
      <w:r>
        <w:rPr>
          <w:rFonts w:hint="eastAsia" w:ascii="宋体" w:hAnsi="宋体"/>
          <w:b/>
        </w:rPr>
        <w:t>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4" w:name="_Toc26831"/>
      <w:bookmarkStart w:id="45" w:name="_Toc7805"/>
      <w:bookmarkStart w:id="46" w:name="_Toc435514855"/>
      <w:bookmarkStart w:id="47" w:name="_Toc275865606"/>
      <w:bookmarkStart w:id="48" w:name="_Toc435515295"/>
      <w:bookmarkStart w:id="49" w:name="_Toc4649"/>
      <w:bookmarkStart w:id="50" w:name="_Toc24650"/>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4"/>
      <w:bookmarkEnd w:id="45"/>
      <w:bookmarkEnd w:id="46"/>
      <w:bookmarkEnd w:id="47"/>
      <w:bookmarkEnd w:id="48"/>
      <w:bookmarkEnd w:id="49"/>
      <w:bookmarkEnd w:id="50"/>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7"/>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征集</w:t>
      </w:r>
      <w:r>
        <w:rPr>
          <w:rFonts w:hint="eastAsia" w:ascii="宋体" w:hAnsi="宋体"/>
          <w:color w:val="auto"/>
          <w:highlight w:val="none"/>
        </w:rPr>
        <w:t>，本公司（企业）愿意参加投标，并声明：</w:t>
      </w:r>
    </w:p>
    <w:p w14:paraId="179ACA93">
      <w:pPr>
        <w:numPr>
          <w:ilvl w:val="0"/>
          <w:numId w:val="16"/>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6"/>
        </w:numPr>
        <w:spacing w:line="360" w:lineRule="auto"/>
        <w:ind w:right="-815"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征集</w:t>
      </w:r>
      <w:r>
        <w:rPr>
          <w:rFonts w:hint="eastAsia" w:ascii="宋体" w:hAnsi="宋体"/>
          <w:szCs w:val="21"/>
        </w:rPr>
        <w:t>项目所提供的货物或服务未侵犯知识产权。</w:t>
      </w:r>
    </w:p>
    <w:p w14:paraId="6CC207C4">
      <w:pPr>
        <w:numPr>
          <w:ilvl w:val="0"/>
          <w:numId w:val="16"/>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6"/>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6"/>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征集</w:t>
      </w:r>
      <w:r>
        <w:rPr>
          <w:rFonts w:hint="eastAsia" w:ascii="宋体" w:hAnsi="宋体"/>
          <w:color w:val="auto"/>
          <w:szCs w:val="21"/>
          <w:highlight w:val="none"/>
        </w:rPr>
        <w:t>文件需求内容、签署的采购合同及本公司在投标中所作的一切承诺履约。项目验收达到全部指标合格，力争优良。</w:t>
      </w:r>
    </w:p>
    <w:p w14:paraId="30EADCCC">
      <w:pPr>
        <w:numPr>
          <w:ilvl w:val="0"/>
          <w:numId w:val="16"/>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6"/>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6"/>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征集</w:t>
      </w:r>
      <w:r>
        <w:rPr>
          <w:rFonts w:hint="eastAsia" w:ascii="宋体" w:hAnsi="宋体"/>
        </w:rPr>
        <w:t>采购活动中，如有违法、违规、弄虚作假行为，所造成的损失、不良后果及法律责任，一律由我公司（企业）承担。</w:t>
      </w:r>
    </w:p>
    <w:p w14:paraId="776B9E12">
      <w:pPr>
        <w:numPr>
          <w:ilvl w:val="0"/>
          <w:numId w:val="16"/>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6"/>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6"/>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51" w:name="_承诺函"/>
      <w:bookmarkEnd w:id="51"/>
      <w:bookmarkStart w:id="52" w:name="_Toc21707"/>
      <w:bookmarkStart w:id="53" w:name="_Toc32186"/>
      <w:bookmarkStart w:id="54" w:name="_Toc27672"/>
      <w:bookmarkStart w:id="55" w:name="_Toc50736477"/>
      <w:bookmarkStart w:id="56" w:name="_Toc275865607"/>
      <w:bookmarkStart w:id="57" w:name="_Toc24149"/>
      <w:bookmarkStart w:id="58" w:name="_Toc52165081"/>
      <w:bookmarkStart w:id="59" w:name="_Toc50737329"/>
      <w:bookmarkStart w:id="60" w:name="_Toc50737297"/>
      <w:bookmarkStart w:id="61" w:name="_Toc435515299"/>
      <w:bookmarkStart w:id="62" w:name="_Toc435514859"/>
      <w:bookmarkStart w:id="63" w:name="_Toc50737296"/>
      <w:bookmarkStart w:id="64" w:name="_Toc50736476"/>
      <w:bookmarkStart w:id="65" w:name="_Toc50691034"/>
      <w:bookmarkStart w:id="66" w:name="_Toc50737328"/>
      <w:bookmarkStart w:id="67" w:name="_Toc52165080"/>
      <w:r>
        <w:rPr>
          <w:rFonts w:hint="eastAsia" w:cs="宋体" w:asciiTheme="majorEastAsia" w:hAnsiTheme="majorEastAsia" w:eastAsiaTheme="majorEastAsia"/>
          <w:kern w:val="2"/>
          <w:sz w:val="30"/>
          <w:szCs w:val="30"/>
          <w:lang w:val="en-US" w:eastAsia="zh-CN" w:bidi="ar-SA"/>
        </w:rPr>
        <w:t>（十四）政府采购违法行为风险知悉确认书</w:t>
      </w:r>
      <w:bookmarkEnd w:id="52"/>
      <w:bookmarkEnd w:id="53"/>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9"/>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28"/>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bookmarkStart w:id="68" w:name="_Toc13791"/>
      <w:bookmarkStart w:id="69" w:name="_Toc24374"/>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54"/>
      <w:bookmarkEnd w:id="55"/>
      <w:bookmarkEnd w:id="56"/>
      <w:bookmarkEnd w:id="57"/>
      <w:bookmarkEnd w:id="58"/>
      <w:bookmarkEnd w:id="59"/>
      <w:bookmarkEnd w:id="60"/>
      <w:bookmarkEnd w:id="61"/>
      <w:bookmarkEnd w:id="62"/>
      <w:bookmarkEnd w:id="68"/>
      <w:bookmarkEnd w:id="69"/>
    </w:p>
    <w:p w14:paraId="232C51C3">
      <w:pPr>
        <w:pStyle w:val="10"/>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10"/>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6"/>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70" w:name="_Toc435515300"/>
      <w:bookmarkStart w:id="71" w:name="_Toc435514860"/>
      <w:bookmarkStart w:id="72" w:name="_Toc14289"/>
      <w:bookmarkStart w:id="73" w:name="_Toc275865608"/>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备注：如参加开标时需另外单独提供法定代表人证明书或者法人代表授权委托书。</w:t>
      </w:r>
      <w:r>
        <w:rPr>
          <w:rFonts w:hint="eastAsia" w:asciiTheme="majorEastAsia" w:hAnsiTheme="majorEastAsia" w:eastAsiaTheme="majorEastAsia"/>
          <w:sz w:val="30"/>
          <w:szCs w:val="30"/>
        </w:rPr>
        <w:br w:type="page"/>
      </w:r>
    </w:p>
    <w:bookmarkEnd w:id="63"/>
    <w:bookmarkEnd w:id="64"/>
    <w:bookmarkEnd w:id="65"/>
    <w:bookmarkEnd w:id="66"/>
    <w:bookmarkEnd w:id="67"/>
    <w:bookmarkEnd w:id="70"/>
    <w:bookmarkEnd w:id="71"/>
    <w:bookmarkEnd w:id="72"/>
    <w:bookmarkEnd w:id="73"/>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74" w:name="_Toc571"/>
      <w:bookmarkStart w:id="75" w:name="_Toc21402"/>
      <w:bookmarkStart w:id="76" w:name="_Toc6666"/>
      <w:bookmarkStart w:id="77"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74"/>
      <w:bookmarkEnd w:id="75"/>
      <w:bookmarkEnd w:id="76"/>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502F8DD2">
      <w:pPr>
        <w:spacing w:line="360" w:lineRule="auto"/>
        <w:ind w:firstLine="422" w:firstLineChars="200"/>
        <w:rPr>
          <w:rFonts w:hint="eastAsia"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E63DD1E">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A4F398">
      <w:pPr>
        <w:spacing w:line="360" w:lineRule="auto"/>
        <w:jc w:val="center"/>
        <w:rPr>
          <w:rFonts w:hint="eastAsia" w:ascii="宋体" w:hAnsi="宋体" w:eastAsia="宋体" w:cs="宋体"/>
          <w:bCs/>
          <w:color w:val="auto"/>
          <w:sz w:val="21"/>
          <w:szCs w:val="21"/>
        </w:rPr>
      </w:pPr>
    </w:p>
    <w:p w14:paraId="08E7BD5D">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b/>
          <w:bCs w:val="0"/>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78" w:name="_Toc29263"/>
      <w:bookmarkStart w:id="79" w:name="_Toc24233"/>
      <w:bookmarkStart w:id="80" w:name="_Toc10390"/>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77"/>
      <w:bookmarkEnd w:id="78"/>
      <w:bookmarkEnd w:id="79"/>
      <w:bookmarkEnd w:id="80"/>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spacing w:line="50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81" w:name="_Toc30412"/>
      <w:bookmarkStart w:id="82" w:name="_Toc24644"/>
      <w:bookmarkStart w:id="83" w:name="_Toc23830"/>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81"/>
      <w:bookmarkEnd w:id="82"/>
      <w:bookmarkEnd w:id="83"/>
    </w:p>
    <w:p w14:paraId="16E0E90C">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6CF6A4A8">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84" w:name="_Toc11352"/>
      <w:bookmarkStart w:id="85" w:name="_Toc777"/>
      <w:bookmarkStart w:id="86" w:name="_Toc25910"/>
      <w:bookmarkStart w:id="87" w:name="_Toc15871"/>
      <w:bookmarkStart w:id="88" w:name="_Toc11926"/>
      <w:bookmarkStart w:id="89" w:name="_Toc2305"/>
      <w:bookmarkStart w:id="90" w:name="_Toc7126"/>
      <w:bookmarkStart w:id="91" w:name="_Toc1903"/>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84"/>
      <w:bookmarkEnd w:id="85"/>
      <w:bookmarkEnd w:id="86"/>
      <w:bookmarkEnd w:id="87"/>
      <w:bookmarkEnd w:id="88"/>
      <w:bookmarkEnd w:id="89"/>
      <w:bookmarkEnd w:id="90"/>
      <w:bookmarkEnd w:id="91"/>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1C60B558">
      <w:pPr>
        <w:pStyle w:val="6"/>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601E95E">
      <w:pPr>
        <w:spacing w:line="500" w:lineRule="exact"/>
        <w:rPr>
          <w:rFonts w:ascii="宋体" w:hAnsi="宋体"/>
        </w:rPr>
      </w:pPr>
    </w:p>
    <w:p w14:paraId="0B1E9164">
      <w:pPr>
        <w:rPr>
          <w:rFonts w:hint="eastAsia"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16B3BBAB">
      <w:pPr>
        <w:pStyle w:val="3"/>
        <w:numPr>
          <w:ilvl w:val="0"/>
          <w:numId w:val="0"/>
        </w:numPr>
        <w:ind w:left="0" w:leftChars="0" w:firstLine="0" w:firstLineChars="0"/>
        <w:jc w:val="center"/>
        <w:outlineLvl w:val="0"/>
        <w:rPr>
          <w:rFonts w:ascii="宋体" w:hAnsi="宋体"/>
          <w:sz w:val="30"/>
          <w:szCs w:val="30"/>
        </w:rPr>
      </w:pPr>
      <w:bookmarkStart w:id="92" w:name="_Toc23208"/>
      <w:bookmarkStart w:id="93" w:name="_Toc11555"/>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bookmarkEnd w:id="92"/>
      <w:bookmarkEnd w:id="93"/>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征集</w:t>
      </w:r>
      <w:r>
        <w:rPr>
          <w:rFonts w:hint="eastAsia" w:ascii="宋体" w:hAnsi="宋体"/>
          <w:szCs w:val="21"/>
        </w:rPr>
        <w:t>项目所提供的货物或服务未侵犯知识产权。</w:t>
      </w:r>
    </w:p>
    <w:p w14:paraId="5EC7A22A">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03C066D2">
      <w:pPr>
        <w:ind w:right="-517" w:rightChars="-246"/>
        <w:jc w:val="center"/>
        <w:outlineLvl w:val="0"/>
        <w:rPr>
          <w:rFonts w:ascii="宋体" w:hAnsi="宋体"/>
          <w:b/>
          <w:bCs/>
          <w:snapToGrid w:val="0"/>
          <w:kern w:val="0"/>
          <w:sz w:val="32"/>
          <w:szCs w:val="32"/>
        </w:rPr>
      </w:pPr>
      <w:bookmarkStart w:id="94" w:name="_Toc7852"/>
      <w:bookmarkStart w:id="95" w:name="_Toc12169"/>
      <w:r>
        <w:rPr>
          <w:rFonts w:hint="eastAsia" w:cs="宋体" w:asciiTheme="majorEastAsia" w:hAnsiTheme="majorEastAsia" w:eastAsiaTheme="majorEastAsia"/>
          <w:kern w:val="2"/>
          <w:sz w:val="30"/>
          <w:szCs w:val="30"/>
          <w:lang w:val="en-US" w:eastAsia="zh-CN" w:bidi="ar-SA"/>
        </w:rPr>
        <w:t>（二十一）福田区第二人民医院医用耗材产品质量及货源保证书</w:t>
      </w:r>
      <w:bookmarkEnd w:id="94"/>
    </w:p>
    <w:p w14:paraId="24F2A31D">
      <w:pPr>
        <w:spacing w:line="440" w:lineRule="exact"/>
        <w:jc w:val="center"/>
        <w:rPr>
          <w:rFonts w:ascii="宋体" w:hAnsi="宋体"/>
          <w:snapToGrid w:val="0"/>
          <w:kern w:val="0"/>
          <w:sz w:val="24"/>
        </w:rPr>
      </w:pPr>
      <w:r>
        <w:rPr>
          <w:rFonts w:hint="eastAsia" w:ascii="宋体" w:hAnsi="宋体" w:cs="宋体"/>
          <w:snapToGrid w:val="0"/>
          <w:kern w:val="0"/>
          <w:sz w:val="24"/>
        </w:rPr>
        <w:t>（采购编号：此编号详见</w:t>
      </w:r>
      <w:r>
        <w:rPr>
          <w:rFonts w:hint="eastAsia" w:ascii="宋体" w:hAnsi="宋体" w:cs="宋体"/>
          <w:snapToGrid w:val="0"/>
          <w:kern w:val="0"/>
          <w:sz w:val="24"/>
          <w:lang w:eastAsia="zh-CN"/>
        </w:rPr>
        <w:t>征集</w:t>
      </w:r>
      <w:r>
        <w:rPr>
          <w:rFonts w:hint="eastAsia" w:ascii="宋体" w:hAnsi="宋体" w:cs="宋体"/>
          <w:snapToGrid w:val="0"/>
          <w:kern w:val="0"/>
          <w:sz w:val="24"/>
        </w:rPr>
        <w:t>公告）</w:t>
      </w:r>
    </w:p>
    <w:p w14:paraId="488CF78A">
      <w:pPr>
        <w:adjustRightInd w:val="0"/>
        <w:snapToGrid w:val="0"/>
        <w:spacing w:line="360" w:lineRule="auto"/>
        <w:ind w:right="-61" w:rightChars="-29"/>
        <w:rPr>
          <w:rFonts w:hint="eastAsia" w:ascii="宋体" w:hAnsi="宋体"/>
          <w:bCs/>
          <w:sz w:val="24"/>
        </w:rPr>
      </w:pPr>
    </w:p>
    <w:p w14:paraId="0DCC0D28">
      <w:pPr>
        <w:adjustRightInd w:val="0"/>
        <w:snapToGrid w:val="0"/>
        <w:spacing w:line="360" w:lineRule="auto"/>
        <w:ind w:right="-61" w:rightChars="-29"/>
        <w:rPr>
          <w:rFonts w:ascii="宋体" w:hAnsi="宋体"/>
          <w:bCs/>
          <w:sz w:val="24"/>
        </w:rPr>
      </w:pPr>
      <w:r>
        <w:rPr>
          <w:rFonts w:hint="eastAsia" w:ascii="宋体" w:hAnsi="宋体"/>
          <w:bCs/>
          <w:sz w:val="24"/>
        </w:rPr>
        <w:t>致：深圳市福田</w:t>
      </w:r>
      <w:r>
        <w:rPr>
          <w:rFonts w:hint="eastAsia" w:ascii="宋体" w:hAnsi="宋体"/>
          <w:bCs/>
          <w:sz w:val="24"/>
          <w:lang w:val="en-US" w:eastAsia="zh-CN"/>
        </w:rPr>
        <w:t>区</w:t>
      </w:r>
      <w:r>
        <w:rPr>
          <w:rFonts w:hint="eastAsia" w:ascii="宋体" w:hAnsi="宋体"/>
          <w:bCs/>
          <w:sz w:val="24"/>
        </w:rPr>
        <w:t>第二人民医院</w:t>
      </w:r>
    </w:p>
    <w:p w14:paraId="6A363436">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作为生产（产品名称）（可另设附表）的企业(企业名称)的代理商(代理商名称)</w:t>
      </w:r>
      <w:r>
        <w:rPr>
          <w:rFonts w:hint="eastAsia" w:ascii="宋体" w:hAnsi="宋体" w:cs="宋体"/>
          <w:snapToGrid w:val="0"/>
          <w:kern w:val="0"/>
          <w:szCs w:val="21"/>
        </w:rPr>
        <w:t>，</w:t>
      </w:r>
      <w:r>
        <w:rPr>
          <w:rFonts w:hint="eastAsia" w:ascii="宋体" w:hAnsi="宋体"/>
          <w:bCs/>
          <w:sz w:val="24"/>
        </w:rPr>
        <w:t>我公司唯一授权                                     (供货单位名称)用我公司代理的上述产品参与福田区第二人民医院医用耗材竞价采购。</w:t>
      </w:r>
    </w:p>
    <w:p w14:paraId="093F31CE">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根据福田区第二人民医院医用耗材竞标采购文件(采购编号：</w:t>
      </w:r>
      <w:r>
        <w:rPr>
          <w:rFonts w:hint="eastAsia" w:ascii="宋体" w:hAnsi="宋体" w:cs="宋体"/>
          <w:snapToGrid w:val="0"/>
          <w:kern w:val="0"/>
          <w:sz w:val="24"/>
        </w:rPr>
        <w:t>此编号详见</w:t>
      </w:r>
      <w:r>
        <w:rPr>
          <w:rFonts w:hint="eastAsia" w:ascii="宋体" w:hAnsi="宋体" w:cs="宋体"/>
          <w:snapToGrid w:val="0"/>
          <w:kern w:val="0"/>
          <w:sz w:val="24"/>
          <w:lang w:eastAsia="zh-CN"/>
        </w:rPr>
        <w:t>征集</w:t>
      </w:r>
      <w:r>
        <w:rPr>
          <w:rFonts w:hint="eastAsia" w:ascii="宋体" w:hAnsi="宋体" w:cs="宋体"/>
          <w:snapToGrid w:val="0"/>
          <w:kern w:val="0"/>
          <w:sz w:val="24"/>
        </w:rPr>
        <w:t>公告</w:t>
      </w:r>
      <w:r>
        <w:rPr>
          <w:rFonts w:hint="eastAsia" w:ascii="宋体" w:hAnsi="宋体"/>
          <w:bCs/>
          <w:sz w:val="24"/>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5D79EBCB">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我单位保证出具的质量及货源保证书真实、合法，并愿承担一切法律责任。</w:t>
      </w:r>
    </w:p>
    <w:p w14:paraId="0E7BCC23">
      <w:pPr>
        <w:spacing w:line="360" w:lineRule="auto"/>
        <w:ind w:right="-147" w:rightChars="-70" w:firstLine="480" w:firstLineChars="200"/>
        <w:rPr>
          <w:rFonts w:ascii="宋体" w:hAnsi="宋体"/>
          <w:snapToGrid w:val="0"/>
          <w:kern w:val="0"/>
          <w:szCs w:val="21"/>
        </w:rPr>
      </w:pPr>
      <w:r>
        <w:rPr>
          <w:rFonts w:hint="eastAsia" w:ascii="宋体" w:hAnsi="宋体"/>
          <w:bCs/>
          <w:sz w:val="24"/>
        </w:rPr>
        <w:t>本保证书有效期限为：年月日至年月日</w:t>
      </w:r>
      <w:r>
        <w:rPr>
          <w:rFonts w:hint="eastAsia" w:ascii="宋体" w:hAnsi="宋体" w:cs="宋体"/>
          <w:snapToGrid w:val="0"/>
          <w:kern w:val="0"/>
          <w:szCs w:val="21"/>
        </w:rPr>
        <w:t>。</w:t>
      </w:r>
    </w:p>
    <w:p w14:paraId="0AA110C4">
      <w:pPr>
        <w:spacing w:line="360" w:lineRule="auto"/>
        <w:ind w:right="-147" w:rightChars="-70" w:firstLine="480" w:firstLineChars="200"/>
        <w:rPr>
          <w:rFonts w:ascii="宋体" w:hAnsi="宋体"/>
          <w:bCs/>
          <w:sz w:val="24"/>
        </w:rPr>
      </w:pPr>
      <w:r>
        <w:rPr>
          <w:rFonts w:hint="eastAsia" w:ascii="宋体" w:hAnsi="宋体"/>
          <w:bCs/>
          <w:sz w:val="24"/>
        </w:rPr>
        <w:t>注： 1、授权期限不能少于    年  月  日至    年  月  日。</w:t>
      </w:r>
    </w:p>
    <w:p w14:paraId="09F07223">
      <w:pPr>
        <w:spacing w:line="360" w:lineRule="auto"/>
        <w:ind w:right="-147" w:rightChars="-70" w:firstLine="1080" w:firstLineChars="450"/>
        <w:rPr>
          <w:rFonts w:ascii="宋体" w:hAnsi="宋体"/>
          <w:bCs/>
          <w:sz w:val="24"/>
        </w:rPr>
      </w:pPr>
      <w:r>
        <w:rPr>
          <w:rFonts w:hint="eastAsia" w:ascii="宋体" w:hAnsi="宋体"/>
          <w:bCs/>
          <w:sz w:val="24"/>
        </w:rPr>
        <w:t>2、本保证书中“代理商”指进口产品的国内总代理商或国内一级代理商。</w:t>
      </w:r>
    </w:p>
    <w:p w14:paraId="1ECD042D">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生产企业名称：</w:t>
      </w:r>
    </w:p>
    <w:p w14:paraId="1383A58E">
      <w:pPr>
        <w:adjustRightInd w:val="0"/>
        <w:snapToGrid w:val="0"/>
        <w:spacing w:line="360" w:lineRule="auto"/>
        <w:ind w:firstLine="420" w:firstLineChars="200"/>
        <w:rPr>
          <w:rFonts w:ascii="宋体" w:hAnsi="宋体" w:cs="宋体"/>
          <w:snapToGrid w:val="0"/>
          <w:kern w:val="0"/>
          <w:szCs w:val="21"/>
          <w:u w:val="single"/>
        </w:rPr>
      </w:pPr>
    </w:p>
    <w:p w14:paraId="2C803421">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代理商名称（盖章）：</w:t>
      </w:r>
    </w:p>
    <w:p w14:paraId="2DCFF11E">
      <w:pPr>
        <w:adjustRightInd w:val="0"/>
        <w:snapToGrid w:val="0"/>
        <w:spacing w:line="360" w:lineRule="auto"/>
        <w:ind w:firstLine="420" w:firstLineChars="200"/>
        <w:rPr>
          <w:rFonts w:ascii="宋体" w:hAnsi="宋体" w:cs="宋体"/>
          <w:snapToGrid w:val="0"/>
          <w:kern w:val="0"/>
          <w:szCs w:val="21"/>
          <w:u w:val="single"/>
        </w:rPr>
      </w:pPr>
    </w:p>
    <w:p w14:paraId="7EC93113">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经办人(签字)：</w:t>
      </w:r>
    </w:p>
    <w:p w14:paraId="1B673300">
      <w:pPr>
        <w:adjustRightInd w:val="0"/>
        <w:snapToGrid w:val="0"/>
        <w:spacing w:line="360" w:lineRule="auto"/>
        <w:ind w:firstLine="420" w:firstLineChars="200"/>
        <w:rPr>
          <w:rFonts w:ascii="宋体" w:hAnsi="宋体" w:cs="宋体"/>
          <w:snapToGrid w:val="0"/>
          <w:kern w:val="0"/>
          <w:szCs w:val="21"/>
          <w:u w:val="single"/>
        </w:rPr>
      </w:pPr>
    </w:p>
    <w:p w14:paraId="0ED56A2E">
      <w:pPr>
        <w:adjustRightInd w:val="0"/>
        <w:snapToGrid w:val="0"/>
        <w:spacing w:line="360" w:lineRule="auto"/>
        <w:ind w:firstLine="480" w:firstLineChars="200"/>
        <w:rPr>
          <w:rFonts w:ascii="宋体" w:hAnsi="宋体" w:cs="宋体"/>
          <w:snapToGrid w:val="0"/>
          <w:kern w:val="0"/>
          <w:szCs w:val="21"/>
          <w:u w:val="single"/>
        </w:rPr>
      </w:pPr>
      <w:r>
        <w:rPr>
          <w:rFonts w:hint="eastAsia" w:ascii="宋体" w:hAnsi="宋体"/>
          <w:bCs/>
          <w:sz w:val="24"/>
        </w:rPr>
        <w:t>经办人联系电话</w:t>
      </w:r>
      <w:r>
        <w:rPr>
          <w:rFonts w:hint="eastAsia" w:ascii="宋体" w:hAnsi="宋体" w:cs="宋体"/>
          <w:snapToGrid w:val="0"/>
          <w:kern w:val="0"/>
          <w:szCs w:val="21"/>
        </w:rPr>
        <w:t>：</w:t>
      </w:r>
    </w:p>
    <w:p w14:paraId="1E79EE04">
      <w:pPr>
        <w:adjustRightInd w:val="0"/>
        <w:snapToGrid w:val="0"/>
        <w:spacing w:line="360" w:lineRule="auto"/>
        <w:ind w:firstLine="420" w:firstLineChars="200"/>
        <w:rPr>
          <w:rFonts w:ascii="宋体" w:hAnsi="宋体" w:cs="宋体"/>
          <w:snapToGrid w:val="0"/>
          <w:kern w:val="0"/>
          <w:szCs w:val="21"/>
          <w:u w:val="single"/>
        </w:rPr>
      </w:pPr>
    </w:p>
    <w:p w14:paraId="21A6E655">
      <w:pPr>
        <w:keepNext w:val="0"/>
        <w:keepLines w:val="0"/>
        <w:widowControl/>
        <w:suppressLineNumbers w:val="0"/>
        <w:jc w:val="center"/>
        <w:textAlignment w:val="center"/>
        <w:outlineLvl w:val="9"/>
        <w:rPr>
          <w:rFonts w:hint="eastAsia" w:ascii="宋体" w:hAnsi="宋体"/>
          <w:bCs/>
          <w:sz w:val="24"/>
        </w:rPr>
      </w:pPr>
      <w:r>
        <w:rPr>
          <w:rFonts w:hint="eastAsia" w:ascii="宋体" w:hAnsi="宋体"/>
          <w:bCs/>
          <w:sz w:val="24"/>
          <w:lang w:val="en-US" w:eastAsia="zh-CN"/>
        </w:rPr>
        <w:t xml:space="preserve">                 </w:t>
      </w:r>
      <w:r>
        <w:rPr>
          <w:rFonts w:hint="eastAsia" w:ascii="宋体" w:hAnsi="宋体"/>
          <w:bCs/>
          <w:sz w:val="24"/>
        </w:rPr>
        <w:t>日期：年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w:t>
      </w:r>
    </w:p>
    <w:p w14:paraId="400080CB">
      <w:pPr>
        <w:keepNext w:val="0"/>
        <w:keepLines w:val="0"/>
        <w:widowControl/>
        <w:suppressLineNumbers w:val="0"/>
        <w:jc w:val="center"/>
        <w:textAlignment w:val="center"/>
        <w:outlineLvl w:val="9"/>
        <w:rPr>
          <w:rFonts w:hint="eastAsia" w:ascii="宋体" w:hAnsi="宋体"/>
          <w:bCs/>
          <w:sz w:val="24"/>
        </w:rPr>
      </w:pPr>
    </w:p>
    <w:p w14:paraId="285F90F4">
      <w:pPr>
        <w:keepNext w:val="0"/>
        <w:keepLines w:val="0"/>
        <w:widowControl/>
        <w:suppressLineNumbers w:val="0"/>
        <w:jc w:val="center"/>
        <w:textAlignment w:val="center"/>
        <w:outlineLvl w:val="9"/>
        <w:rPr>
          <w:rFonts w:hint="eastAsia" w:ascii="宋体" w:hAnsi="宋体"/>
          <w:bCs/>
          <w:sz w:val="24"/>
        </w:rPr>
      </w:pPr>
    </w:p>
    <w:p w14:paraId="2177BF2F">
      <w:pPr>
        <w:keepNext w:val="0"/>
        <w:keepLines w:val="0"/>
        <w:widowControl/>
        <w:suppressLineNumbers w:val="0"/>
        <w:jc w:val="center"/>
        <w:textAlignment w:val="center"/>
        <w:outlineLvl w:val="9"/>
        <w:rPr>
          <w:rFonts w:hint="eastAsia" w:ascii="宋体" w:hAnsi="宋体"/>
          <w:bCs/>
          <w:sz w:val="24"/>
        </w:rPr>
      </w:pPr>
    </w:p>
    <w:p w14:paraId="63BC347D">
      <w:pPr>
        <w:keepNext w:val="0"/>
        <w:keepLines w:val="0"/>
        <w:widowControl/>
        <w:suppressLineNumbers w:val="0"/>
        <w:jc w:val="center"/>
        <w:textAlignment w:val="center"/>
        <w:outlineLvl w:val="9"/>
        <w:rPr>
          <w:rFonts w:hint="eastAsia" w:ascii="宋体" w:hAnsi="宋体"/>
          <w:bCs/>
          <w:sz w:val="24"/>
        </w:rPr>
      </w:pPr>
    </w:p>
    <w:p w14:paraId="3D60B64A">
      <w:pPr>
        <w:keepNext w:val="0"/>
        <w:keepLines w:val="0"/>
        <w:widowControl/>
        <w:suppressLineNumbers w:val="0"/>
        <w:jc w:val="center"/>
        <w:textAlignment w:val="center"/>
        <w:outlineLvl w:val="9"/>
        <w:rPr>
          <w:rFonts w:hint="eastAsia" w:ascii="宋体" w:hAnsi="宋体"/>
          <w:bCs/>
          <w:sz w:val="24"/>
        </w:rPr>
      </w:pPr>
    </w:p>
    <w:p w14:paraId="13BFBC40">
      <w:pPr>
        <w:keepNext w:val="0"/>
        <w:keepLines w:val="0"/>
        <w:widowControl/>
        <w:suppressLineNumbers w:val="0"/>
        <w:jc w:val="center"/>
        <w:textAlignment w:val="center"/>
        <w:outlineLvl w:val="9"/>
        <w:rPr>
          <w:rFonts w:hint="eastAsia" w:ascii="宋体" w:hAnsi="宋体"/>
          <w:bCs/>
          <w:sz w:val="24"/>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bookmarkStart w:id="96" w:name="_Toc9651"/>
      <w:r>
        <w:rPr>
          <w:rFonts w:hint="eastAsia" w:cs="宋体" w:asciiTheme="majorEastAsia" w:hAnsiTheme="majorEastAsia" w:eastAsiaTheme="majorEastAsia"/>
          <w:kern w:val="2"/>
          <w:sz w:val="30"/>
          <w:szCs w:val="30"/>
          <w:lang w:val="en-US" w:eastAsia="zh-CN" w:bidi="ar-SA"/>
        </w:rPr>
        <w:t>（二十二）</w:t>
      </w:r>
      <w:bookmarkEnd w:id="95"/>
      <w:r>
        <w:rPr>
          <w:rFonts w:hint="eastAsia" w:cs="宋体" w:asciiTheme="majorEastAsia" w:hAnsiTheme="majorEastAsia" w:eastAsiaTheme="majorEastAsia"/>
          <w:kern w:val="2"/>
          <w:sz w:val="30"/>
          <w:szCs w:val="30"/>
          <w:lang w:val="en-US" w:eastAsia="zh-CN" w:bidi="ar-SA"/>
        </w:rPr>
        <w:t>配送方案</w:t>
      </w:r>
      <w:bookmarkEnd w:id="96"/>
    </w:p>
    <w:p w14:paraId="25CC3BF9">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79A7817D">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配送时效保障方案</w:t>
      </w:r>
      <w:r>
        <w:rPr>
          <w:rFonts w:hint="eastAsia" w:asciiTheme="minorEastAsia" w:hAnsiTheme="minorEastAsia" w:eastAsiaTheme="minorEastAsia" w:cstheme="minorEastAsia"/>
          <w:color w:val="auto"/>
          <w:kern w:val="0"/>
          <w:szCs w:val="21"/>
          <w:highlight w:val="none"/>
          <w:lang w:eastAsia="zh-CN"/>
        </w:rPr>
        <w:t>；</w:t>
      </w:r>
    </w:p>
    <w:p w14:paraId="39805EE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eastAsia="zh-CN"/>
        </w:rPr>
        <w:t>；</w:t>
      </w:r>
    </w:p>
    <w:p w14:paraId="315E2D95">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配送</w:t>
      </w:r>
      <w:r>
        <w:rPr>
          <w:rFonts w:hint="eastAsia" w:asciiTheme="minorEastAsia" w:hAnsiTheme="minorEastAsia" w:eastAsiaTheme="minorEastAsia" w:cstheme="minorEastAsia"/>
          <w:color w:val="auto"/>
          <w:kern w:val="0"/>
          <w:szCs w:val="21"/>
          <w:highlight w:val="none"/>
        </w:rPr>
        <w:t>人员</w:t>
      </w:r>
      <w:r>
        <w:rPr>
          <w:rFonts w:hint="eastAsia" w:asciiTheme="minorEastAsia" w:hAnsiTheme="minorEastAsia" w:eastAsiaTheme="minorEastAsia" w:cstheme="minorEastAsia"/>
          <w:color w:val="auto"/>
          <w:kern w:val="0"/>
          <w:szCs w:val="21"/>
          <w:highlight w:val="none"/>
          <w:lang w:val="en-US" w:eastAsia="zh-CN"/>
        </w:rPr>
        <w:t>管理制度</w:t>
      </w:r>
      <w:r>
        <w:rPr>
          <w:rFonts w:hint="eastAsia" w:asciiTheme="minorEastAsia" w:hAnsiTheme="minorEastAsia" w:eastAsiaTheme="minorEastAsia" w:cstheme="minorEastAsia"/>
          <w:color w:val="auto"/>
          <w:kern w:val="0"/>
          <w:szCs w:val="21"/>
          <w:highlight w:val="none"/>
          <w:lang w:eastAsia="zh-CN"/>
        </w:rPr>
        <w:t>。</w:t>
      </w:r>
    </w:p>
    <w:p w14:paraId="4EE0BC0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64F853FC">
      <w:pPr>
        <w:widowControl w:val="0"/>
        <w:numPr>
          <w:ilvl w:val="0"/>
          <w:numId w:val="0"/>
        </w:numPr>
        <w:spacing w:after="60"/>
        <w:jc w:val="both"/>
        <w:rPr>
          <w:rFonts w:hint="eastAsia" w:cs="Arial"/>
          <w:color w:val="000000"/>
        </w:rPr>
      </w:pPr>
    </w:p>
    <w:p w14:paraId="1EE3FF98">
      <w:pPr>
        <w:widowControl w:val="0"/>
        <w:numPr>
          <w:ilvl w:val="0"/>
          <w:numId w:val="0"/>
        </w:numPr>
        <w:spacing w:after="60"/>
        <w:jc w:val="both"/>
        <w:rPr>
          <w:rFonts w:hint="eastAsia" w:cs="Arial"/>
          <w:color w:val="000000"/>
        </w:rPr>
      </w:pPr>
    </w:p>
    <w:p w14:paraId="3E0D9342">
      <w:pPr>
        <w:widowControl w:val="0"/>
        <w:numPr>
          <w:ilvl w:val="0"/>
          <w:numId w:val="0"/>
        </w:numPr>
        <w:spacing w:after="60"/>
        <w:jc w:val="both"/>
        <w:rPr>
          <w:rFonts w:hint="eastAsia" w:cs="Arial"/>
          <w:color w:val="000000"/>
        </w:rPr>
      </w:pPr>
    </w:p>
    <w:p w14:paraId="00047196">
      <w:pPr>
        <w:widowControl w:val="0"/>
        <w:numPr>
          <w:ilvl w:val="0"/>
          <w:numId w:val="0"/>
        </w:numPr>
        <w:spacing w:after="60"/>
        <w:jc w:val="both"/>
        <w:rPr>
          <w:rFonts w:hint="eastAsia" w:cs="Arial"/>
          <w:color w:val="000000"/>
        </w:rPr>
      </w:pPr>
    </w:p>
    <w:p w14:paraId="37883878">
      <w:pPr>
        <w:snapToGrid w:val="0"/>
        <w:ind w:left="0" w:leftChars="0" w:firstLine="0" w:firstLineChars="0"/>
        <w:jc w:val="center"/>
        <w:outlineLvl w:val="0"/>
        <w:rPr>
          <w:rFonts w:hint="eastAsia"/>
          <w:lang w:eastAsia="zh-CN"/>
        </w:rPr>
      </w:pPr>
      <w:bookmarkStart w:id="97" w:name="_Toc15077"/>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二十三</w:t>
      </w:r>
      <w:r>
        <w:rPr>
          <w:rFonts w:hint="eastAsia" w:asciiTheme="majorEastAsia" w:hAnsiTheme="majorEastAsia" w:eastAsiaTheme="majorEastAsia"/>
          <w:sz w:val="30"/>
          <w:szCs w:val="30"/>
          <w:lang w:eastAsia="zh-CN"/>
        </w:rPr>
        <w:t>）</w:t>
      </w:r>
      <w:r>
        <w:rPr>
          <w:rFonts w:hint="eastAsia" w:cs="宋体" w:asciiTheme="majorEastAsia" w:hAnsiTheme="majorEastAsia" w:eastAsiaTheme="majorEastAsia"/>
          <w:kern w:val="2"/>
          <w:sz w:val="30"/>
          <w:szCs w:val="30"/>
          <w:lang w:val="en-US" w:eastAsia="zh-CN" w:bidi="ar-SA"/>
        </w:rPr>
        <w:t>售后服务方案</w:t>
      </w:r>
      <w:bookmarkEnd w:id="97"/>
    </w:p>
    <w:p w14:paraId="0210C3E9">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556F466D">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eastAsia="zh-CN"/>
        </w:rPr>
        <w:t>；</w:t>
      </w:r>
    </w:p>
    <w:p w14:paraId="575A6469">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应急供货和</w:t>
      </w:r>
      <w:r>
        <w:rPr>
          <w:rFonts w:hint="eastAsia" w:asciiTheme="minorEastAsia" w:hAnsiTheme="minorEastAsia" w:eastAsiaTheme="minorEastAsia" w:cstheme="minorEastAsia"/>
          <w:color w:val="auto"/>
          <w:kern w:val="0"/>
          <w:szCs w:val="21"/>
          <w:highlight w:val="none"/>
          <w:lang w:val="en-US" w:eastAsia="zh-CN"/>
        </w:rPr>
        <w:t>产品</w:t>
      </w:r>
      <w:r>
        <w:rPr>
          <w:rFonts w:hint="eastAsia" w:asciiTheme="minorEastAsia" w:hAnsiTheme="minorEastAsia" w:eastAsiaTheme="minorEastAsia" w:cstheme="minorEastAsia"/>
          <w:color w:val="auto"/>
          <w:kern w:val="0"/>
          <w:szCs w:val="21"/>
          <w:highlight w:val="none"/>
        </w:rPr>
        <w:t>退货方案</w:t>
      </w:r>
      <w:r>
        <w:rPr>
          <w:rFonts w:hint="eastAsia" w:asciiTheme="minorEastAsia" w:hAnsiTheme="minorEastAsia" w:eastAsiaTheme="minorEastAsia" w:cstheme="minorEastAsia"/>
          <w:color w:val="auto"/>
          <w:kern w:val="0"/>
          <w:szCs w:val="21"/>
          <w:highlight w:val="none"/>
          <w:lang w:eastAsia="zh-CN"/>
        </w:rPr>
        <w:t>；</w:t>
      </w:r>
    </w:p>
    <w:p w14:paraId="6D37CFEA">
      <w:pPr>
        <w:rPr>
          <w:rFonts w:hint="eastAsia"/>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基于</w:t>
      </w:r>
      <w:r>
        <w:rPr>
          <w:rFonts w:hint="eastAsia" w:asciiTheme="minorEastAsia" w:hAnsiTheme="minorEastAsia" w:cstheme="minorEastAsia"/>
          <w:color w:val="auto"/>
          <w:kern w:val="0"/>
          <w:szCs w:val="21"/>
          <w:highlight w:val="none"/>
          <w:lang w:val="en-US" w:eastAsia="zh-CN"/>
        </w:rPr>
        <w:t>征集</w:t>
      </w:r>
      <w:r>
        <w:rPr>
          <w:rFonts w:hint="eastAsia" w:asciiTheme="minorEastAsia" w:hAnsiTheme="minorEastAsia" w:eastAsiaTheme="minorEastAsia" w:cstheme="minorEastAsia"/>
          <w:color w:val="auto"/>
          <w:kern w:val="0"/>
          <w:szCs w:val="21"/>
          <w:highlight w:val="none"/>
          <w:lang w:val="en-US" w:eastAsia="zh-CN"/>
        </w:rPr>
        <w:t>文件中的售后服务要求进行合理预判，并承诺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cstheme="minorEastAsia"/>
          <w:color w:val="auto"/>
          <w:kern w:val="0"/>
          <w:szCs w:val="21"/>
          <w:highlight w:val="none"/>
          <w:lang w:eastAsia="zh-CN"/>
        </w:rPr>
        <w:t>。</w:t>
      </w: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08AF08E9">
      <w:pPr>
        <w:rPr>
          <w:rFonts w:hint="eastAsia"/>
          <w:lang w:eastAsia="zh-CN"/>
        </w:rPr>
      </w:pPr>
    </w:p>
    <w:p w14:paraId="60D15B59">
      <w:pPr>
        <w:rPr>
          <w:rFonts w:hint="eastAsia"/>
          <w:lang w:eastAsia="zh-CN"/>
        </w:rPr>
      </w:pPr>
    </w:p>
    <w:p w14:paraId="7557EF01">
      <w:pPr>
        <w:rPr>
          <w:rFonts w:hint="eastAsia"/>
          <w:lang w:eastAsia="zh-CN"/>
        </w:rPr>
      </w:pPr>
    </w:p>
    <w:p w14:paraId="6C3EEC4E">
      <w:pPr>
        <w:rPr>
          <w:rFonts w:hint="eastAsia"/>
          <w:lang w:eastAsia="zh-CN"/>
        </w:rPr>
      </w:pPr>
    </w:p>
    <w:p w14:paraId="62C1FB22">
      <w:pPr>
        <w:rPr>
          <w:rFonts w:hint="eastAsia"/>
          <w:lang w:eastAsia="zh-CN"/>
        </w:rPr>
      </w:pPr>
    </w:p>
    <w:p w14:paraId="22737CFA">
      <w:pPr>
        <w:rPr>
          <w:rFonts w:hint="eastAsia"/>
          <w:lang w:eastAsia="zh-CN"/>
        </w:rPr>
      </w:pPr>
    </w:p>
    <w:p w14:paraId="579A01D7">
      <w:pPr>
        <w:rPr>
          <w:rFonts w:hint="eastAsia"/>
          <w:lang w:eastAsia="zh-CN"/>
        </w:rPr>
      </w:pPr>
    </w:p>
    <w:p w14:paraId="448C72C7">
      <w:pPr>
        <w:rPr>
          <w:rFonts w:hint="eastAsia"/>
          <w:lang w:eastAsia="zh-CN"/>
        </w:rPr>
      </w:pPr>
    </w:p>
    <w:p w14:paraId="63D33E67">
      <w:pPr>
        <w:rPr>
          <w:rFonts w:hint="eastAsia"/>
          <w:lang w:eastAsia="zh-CN"/>
        </w:rPr>
      </w:pPr>
    </w:p>
    <w:p w14:paraId="6D94ED00">
      <w:pPr>
        <w:rPr>
          <w:rFonts w:hint="eastAsia"/>
          <w:lang w:eastAsia="zh-CN"/>
        </w:rPr>
      </w:pPr>
    </w:p>
    <w:p w14:paraId="77388CD7">
      <w:pPr>
        <w:rPr>
          <w:rFonts w:hint="eastAsia"/>
          <w:lang w:eastAsia="zh-CN"/>
        </w:rPr>
      </w:pPr>
    </w:p>
    <w:p w14:paraId="17DF79A4">
      <w:pPr>
        <w:rPr>
          <w:rFonts w:hint="eastAsia"/>
          <w:lang w:eastAsia="zh-CN"/>
        </w:rPr>
      </w:pPr>
    </w:p>
    <w:p w14:paraId="2E220D93">
      <w:pPr>
        <w:rPr>
          <w:rFonts w:hint="eastAsia"/>
          <w:lang w:eastAsia="zh-CN"/>
        </w:rPr>
      </w:pPr>
    </w:p>
    <w:p w14:paraId="70AD84C5">
      <w:pPr>
        <w:rPr>
          <w:rFonts w:hint="eastAsia"/>
          <w:lang w:eastAsia="zh-CN"/>
        </w:rPr>
      </w:pPr>
    </w:p>
    <w:p w14:paraId="4F68ED25">
      <w:pPr>
        <w:rPr>
          <w:rFonts w:hint="eastAsia"/>
          <w:lang w:eastAsia="zh-CN"/>
        </w:rPr>
      </w:pPr>
    </w:p>
    <w:p w14:paraId="06500827">
      <w:pPr>
        <w:rPr>
          <w:rFonts w:hint="eastAsia"/>
          <w:lang w:eastAsia="zh-CN"/>
        </w:rPr>
      </w:pPr>
    </w:p>
    <w:p w14:paraId="0B56BB10">
      <w:pPr>
        <w:rPr>
          <w:rFonts w:hint="eastAsia"/>
          <w:lang w:eastAsia="zh-CN"/>
        </w:rPr>
      </w:pPr>
    </w:p>
    <w:p w14:paraId="46A58252">
      <w:pPr>
        <w:rPr>
          <w:rFonts w:hint="eastAsia"/>
          <w:lang w:eastAsia="zh-CN"/>
        </w:rPr>
      </w:pPr>
    </w:p>
    <w:p w14:paraId="1BF22283">
      <w:pPr>
        <w:rPr>
          <w:rFonts w:hint="eastAsia"/>
          <w:lang w:eastAsia="zh-CN"/>
        </w:rPr>
      </w:pPr>
    </w:p>
    <w:p w14:paraId="01710207">
      <w:pPr>
        <w:rPr>
          <w:rFonts w:hint="eastAsia"/>
          <w:lang w:eastAsia="zh-CN"/>
        </w:rPr>
      </w:pPr>
    </w:p>
    <w:p w14:paraId="21D24E4F">
      <w:pPr>
        <w:rPr>
          <w:rFonts w:hint="eastAsia"/>
          <w:lang w:eastAsia="zh-CN"/>
        </w:rPr>
      </w:pPr>
    </w:p>
    <w:p w14:paraId="1D318D32">
      <w:pPr>
        <w:rPr>
          <w:rFonts w:hint="eastAsia"/>
          <w:lang w:eastAsia="zh-CN"/>
        </w:rPr>
      </w:pPr>
    </w:p>
    <w:p w14:paraId="395A22B5">
      <w:pPr>
        <w:rPr>
          <w:rFonts w:hint="eastAsia"/>
          <w:lang w:eastAsia="zh-CN"/>
        </w:rPr>
      </w:pPr>
    </w:p>
    <w:p w14:paraId="77A0A7D9">
      <w:pPr>
        <w:rPr>
          <w:rFonts w:hint="eastAsia"/>
          <w:lang w:eastAsia="zh-CN"/>
        </w:rPr>
      </w:pPr>
    </w:p>
    <w:p w14:paraId="6CCCB4D6">
      <w:pPr>
        <w:rPr>
          <w:rFonts w:hint="eastAsia"/>
          <w:lang w:eastAsia="zh-CN"/>
        </w:rPr>
      </w:pPr>
    </w:p>
    <w:p w14:paraId="50F6190D">
      <w:pPr>
        <w:rPr>
          <w:rFonts w:hint="eastAsia"/>
          <w:lang w:eastAsia="zh-CN"/>
        </w:rPr>
      </w:pPr>
    </w:p>
    <w:p w14:paraId="3CB0C099">
      <w:pPr>
        <w:rPr>
          <w:rFonts w:hint="eastAsia"/>
          <w:lang w:eastAsia="zh-CN"/>
        </w:rPr>
      </w:pPr>
    </w:p>
    <w:p w14:paraId="20D6CEFC">
      <w:pPr>
        <w:rPr>
          <w:rFonts w:hint="eastAsia"/>
          <w:lang w:eastAsia="zh-CN"/>
        </w:rPr>
      </w:pPr>
    </w:p>
    <w:p w14:paraId="085AE093">
      <w:pPr>
        <w:rPr>
          <w:rFonts w:hint="eastAsia"/>
          <w:lang w:eastAsia="zh-CN"/>
        </w:rPr>
      </w:pPr>
    </w:p>
    <w:p w14:paraId="7DD82DA0">
      <w:pPr>
        <w:rPr>
          <w:rFonts w:hint="eastAsia"/>
          <w:lang w:eastAsia="zh-CN"/>
        </w:rPr>
      </w:pPr>
    </w:p>
    <w:p w14:paraId="14CCD38F">
      <w:pPr>
        <w:rPr>
          <w:rFonts w:hint="eastAsia"/>
          <w:lang w:eastAsia="zh-CN"/>
        </w:rPr>
      </w:pPr>
    </w:p>
    <w:p w14:paraId="295F38B1">
      <w:pPr>
        <w:rPr>
          <w:rFonts w:hint="eastAsia"/>
          <w:lang w:eastAsia="zh-CN"/>
        </w:rPr>
      </w:pPr>
    </w:p>
    <w:p w14:paraId="5F19ED12">
      <w:pPr>
        <w:rPr>
          <w:rFonts w:hint="eastAsia"/>
          <w:lang w:eastAsia="zh-CN"/>
        </w:rPr>
      </w:pPr>
    </w:p>
    <w:p w14:paraId="5218CF74">
      <w:pPr>
        <w:snapToGrid w:val="0"/>
        <w:ind w:left="0" w:leftChars="0" w:firstLine="0" w:firstLineChars="0"/>
        <w:jc w:val="center"/>
        <w:outlineLvl w:val="0"/>
        <w:rPr>
          <w:rFonts w:hint="eastAsia" w:hAnsi="宋体" w:cs="Times New Roman" w:eastAsiaTheme="majorEastAsia"/>
          <w:sz w:val="30"/>
          <w:szCs w:val="30"/>
          <w:lang w:val="en-US" w:eastAsia="zh-CN"/>
        </w:rPr>
      </w:pPr>
      <w:bookmarkStart w:id="98" w:name="_Toc14925"/>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二十四</w:t>
      </w:r>
      <w:r>
        <w:rPr>
          <w:rFonts w:hint="eastAsia" w:asciiTheme="majorEastAsia" w:hAnsiTheme="majorEastAsia" w:eastAsiaTheme="majorEastAsia"/>
          <w:sz w:val="30"/>
          <w:szCs w:val="30"/>
          <w:lang w:eastAsia="zh-CN"/>
        </w:rPr>
        <w:t>）</w:t>
      </w:r>
      <w:r>
        <w:rPr>
          <w:rFonts w:hint="eastAsia" w:cs="宋体" w:asciiTheme="majorEastAsia" w:hAnsiTheme="majorEastAsia" w:eastAsiaTheme="majorEastAsia"/>
          <w:kern w:val="2"/>
          <w:sz w:val="30"/>
          <w:szCs w:val="30"/>
          <w:lang w:val="en-US" w:eastAsia="zh-CN" w:bidi="ar-SA"/>
        </w:rPr>
        <w:t>有效业绩</w:t>
      </w:r>
      <w:bookmarkEnd w:id="98"/>
      <w:r>
        <w:rPr>
          <w:rFonts w:hint="eastAsia" w:cs="宋体" w:asciiTheme="majorEastAsia" w:hAnsiTheme="majorEastAsia" w:eastAsiaTheme="majorEastAsia"/>
          <w:kern w:val="2"/>
          <w:sz w:val="30"/>
          <w:szCs w:val="30"/>
          <w:lang w:val="en-US" w:eastAsia="zh-CN" w:bidi="ar-SA"/>
        </w:rPr>
        <w:t xml:space="preserve"> </w:t>
      </w:r>
    </w:p>
    <w:p w14:paraId="2F919FE3">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4E4E21E2">
      <w:pPr>
        <w:keepNext w:val="0"/>
        <w:keepLines w:val="0"/>
        <w:pageBreakBefore w:val="0"/>
        <w:widowControl w:val="0"/>
        <w:kinsoku/>
        <w:overflowPunct/>
        <w:topLinePunct w:val="0"/>
        <w:autoSpaceDE/>
        <w:autoSpaceDN/>
        <w:bidi w:val="0"/>
        <w:adjustRightInd/>
        <w:spacing w:line="240" w:lineRule="auto"/>
        <w:jc w:val="left"/>
        <w:textAlignment w:val="auto"/>
        <w:rPr>
          <w:rFonts w:hint="default" w:ascii="宋体" w:hAnsi="宋体" w:eastAsia="宋体" w:cs="宋体"/>
          <w:sz w:val="21"/>
          <w:szCs w:val="21"/>
          <w:highlight w:val="none"/>
          <w:lang w:val="en-US" w:eastAsia="zh-CN"/>
        </w:rPr>
      </w:pPr>
      <w:r>
        <w:rPr>
          <w:rFonts w:hint="eastAsia" w:ascii="宋体" w:hAnsi="宋体" w:cs="宋体"/>
          <w:kern w:val="0"/>
          <w:szCs w:val="21"/>
          <w:lang w:val="en-US" w:eastAsia="zh-CN"/>
        </w:rPr>
        <w:t>1、</w:t>
      </w:r>
      <w:r>
        <w:rPr>
          <w:rFonts w:hint="eastAsia" w:ascii="宋体" w:hAnsi="宋体" w:eastAsia="宋体" w:cs="宋体"/>
          <w:sz w:val="21"/>
          <w:szCs w:val="21"/>
          <w:highlight w:val="none"/>
          <w:lang w:val="en-US" w:eastAsia="zh-CN"/>
        </w:rPr>
        <w:t>需本投标单位出具的有效发票或合同，若非本投标单位出具的发票或合同，将做无效处理，不得分。</w:t>
      </w:r>
    </w:p>
    <w:p w14:paraId="68DA1438">
      <w:pPr>
        <w:numPr>
          <w:ilvl w:val="0"/>
          <w:numId w:val="0"/>
        </w:numPr>
        <w:spacing w:after="60"/>
        <w:rPr>
          <w:rFonts w:hint="eastAsia" w:ascii="宋体" w:hAnsi="宋体" w:cs="宋体"/>
          <w:kern w:val="0"/>
          <w:szCs w:val="21"/>
        </w:rPr>
      </w:pPr>
    </w:p>
    <w:p w14:paraId="0BB1432B">
      <w:pPr>
        <w:snapToGrid w:val="0"/>
        <w:ind w:left="0" w:leftChars="0" w:firstLine="0" w:firstLineChars="0"/>
        <w:jc w:val="left"/>
        <w:outlineLvl w:val="9"/>
        <w:rPr>
          <w:rFonts w:hint="eastAsia" w:asciiTheme="majorEastAsia" w:hAnsiTheme="majorEastAsia" w:eastAsiaTheme="majorEastAsia"/>
          <w:sz w:val="30"/>
          <w:szCs w:val="30"/>
          <w:lang w:val="en-US" w:eastAsia="zh-CN"/>
        </w:rPr>
      </w:pPr>
    </w:p>
    <w:p w14:paraId="4C5C68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0E4EAF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EFEA7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464AD7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CF9D94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3F242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985CE7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4F0036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1D92DD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D79D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F83C09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937BBE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FA4B3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85262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98D90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43461D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742E5A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CB168E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5A41D1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37A58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BB4E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F590C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F3F2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44D4C7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00AC4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91453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27F4B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C66CF1">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B5DE535">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884C510">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99" w:name="_Toc17243"/>
      <w:r>
        <w:rPr>
          <w:rFonts w:hint="eastAsia" w:asciiTheme="majorEastAsia" w:hAnsiTheme="majorEastAsia" w:eastAsiaTheme="majorEastAsia"/>
          <w:sz w:val="30"/>
          <w:szCs w:val="30"/>
          <w:lang w:val="en-US" w:eastAsia="zh-CN"/>
        </w:rPr>
        <w:t>（二十五）履约评价</w:t>
      </w:r>
      <w:bookmarkEnd w:id="99"/>
    </w:p>
    <w:p w14:paraId="0FDF2BB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185B48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3E9C4E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984304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44914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B3E27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8C4AEA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3B550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04859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785B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AD7F6C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8617E3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2737DF6">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42D0B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474E1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E93B08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4EE8F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065097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3AF5FA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CCB9BF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7948F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A27C7C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F73428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7797AD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2A20A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6E6298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87AE31">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3FF304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DFA959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9FA855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A29C41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069B7A6">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C04C87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D31A44">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678DEE95">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100" w:name="_Toc27595"/>
      <w:r>
        <w:rPr>
          <w:rFonts w:hint="eastAsia" w:asciiTheme="majorEastAsia" w:hAnsiTheme="majorEastAsia" w:eastAsiaTheme="majorEastAsia"/>
          <w:sz w:val="30"/>
          <w:szCs w:val="30"/>
          <w:lang w:val="en-US" w:eastAsia="zh-CN"/>
        </w:rPr>
        <w:t>（二十六）仓储、运输能力</w:t>
      </w:r>
      <w:bookmarkEnd w:id="100"/>
    </w:p>
    <w:p w14:paraId="2E335241">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26C6E0D6">
      <w:pPr>
        <w:rPr>
          <w:rFonts w:hint="eastAsia"/>
          <w:lang w:eastAsia="zh-CN"/>
        </w:rPr>
      </w:pPr>
    </w:p>
    <w:p w14:paraId="76EC335F">
      <w:pPr>
        <w:rPr>
          <w:rFonts w:hint="eastAsia"/>
          <w:lang w:eastAsia="zh-CN"/>
        </w:rPr>
      </w:pPr>
    </w:p>
    <w:p w14:paraId="2E2DF0E5">
      <w:pPr>
        <w:rPr>
          <w:rFonts w:hint="eastAsia"/>
          <w:lang w:eastAsia="zh-CN"/>
        </w:rPr>
      </w:pPr>
    </w:p>
    <w:p w14:paraId="4183BCCE">
      <w:pPr>
        <w:rPr>
          <w:rFonts w:hint="eastAsia"/>
          <w:lang w:eastAsia="zh-CN"/>
        </w:rPr>
      </w:pPr>
    </w:p>
    <w:p w14:paraId="2B29BD12">
      <w:pPr>
        <w:rPr>
          <w:rFonts w:hint="eastAsia"/>
          <w:lang w:eastAsia="zh-CN"/>
        </w:rPr>
      </w:pPr>
    </w:p>
    <w:p w14:paraId="54F01619">
      <w:pPr>
        <w:rPr>
          <w:rFonts w:hint="eastAsia"/>
          <w:lang w:eastAsia="zh-CN"/>
        </w:rPr>
      </w:pPr>
    </w:p>
    <w:p w14:paraId="466D7132">
      <w:pPr>
        <w:rPr>
          <w:rFonts w:hint="eastAsia"/>
          <w:lang w:eastAsia="zh-CN"/>
        </w:rPr>
      </w:pPr>
    </w:p>
    <w:p w14:paraId="2B286014">
      <w:pPr>
        <w:rPr>
          <w:rFonts w:hint="eastAsia"/>
          <w:lang w:eastAsia="zh-CN"/>
        </w:rPr>
      </w:pPr>
    </w:p>
    <w:p w14:paraId="542B8F31">
      <w:pPr>
        <w:rPr>
          <w:rFonts w:hint="eastAsia"/>
          <w:lang w:eastAsia="zh-CN"/>
        </w:rPr>
      </w:pPr>
    </w:p>
    <w:p w14:paraId="07060269">
      <w:pPr>
        <w:rPr>
          <w:rFonts w:hint="eastAsia"/>
          <w:lang w:eastAsia="zh-CN"/>
        </w:rPr>
      </w:pPr>
    </w:p>
    <w:p w14:paraId="50B76194">
      <w:pPr>
        <w:rPr>
          <w:rFonts w:hint="eastAsia"/>
          <w:lang w:eastAsia="zh-CN"/>
        </w:rPr>
      </w:pPr>
    </w:p>
    <w:p w14:paraId="12E474A3">
      <w:pPr>
        <w:rPr>
          <w:rFonts w:hint="eastAsia"/>
          <w:lang w:eastAsia="zh-CN"/>
        </w:rPr>
      </w:pPr>
    </w:p>
    <w:p w14:paraId="367F0BDB">
      <w:pPr>
        <w:rPr>
          <w:rFonts w:hint="eastAsia"/>
          <w:lang w:eastAsia="zh-CN"/>
        </w:rPr>
      </w:pPr>
    </w:p>
    <w:p w14:paraId="40BFFDF4">
      <w:pPr>
        <w:rPr>
          <w:rFonts w:hint="eastAsia"/>
          <w:lang w:eastAsia="zh-CN"/>
        </w:rPr>
      </w:pPr>
    </w:p>
    <w:p w14:paraId="1A0E51E5">
      <w:pPr>
        <w:rPr>
          <w:rFonts w:hint="eastAsia"/>
          <w:lang w:eastAsia="zh-CN"/>
        </w:rPr>
      </w:pPr>
    </w:p>
    <w:p w14:paraId="1EDA50BC">
      <w:pPr>
        <w:rPr>
          <w:rFonts w:hint="eastAsia"/>
          <w:lang w:eastAsia="zh-CN"/>
        </w:rPr>
      </w:pPr>
    </w:p>
    <w:p w14:paraId="0EC2C6ED">
      <w:pPr>
        <w:rPr>
          <w:rFonts w:hint="eastAsia"/>
          <w:lang w:eastAsia="zh-CN"/>
        </w:rPr>
      </w:pPr>
    </w:p>
    <w:p w14:paraId="73C55927">
      <w:pPr>
        <w:rPr>
          <w:rFonts w:hint="eastAsia"/>
          <w:lang w:eastAsia="zh-CN"/>
        </w:rPr>
      </w:pPr>
    </w:p>
    <w:p w14:paraId="5E406433">
      <w:pPr>
        <w:rPr>
          <w:rFonts w:hint="eastAsia"/>
          <w:lang w:eastAsia="zh-CN"/>
        </w:rPr>
      </w:pPr>
    </w:p>
    <w:p w14:paraId="419BF86E">
      <w:pPr>
        <w:rPr>
          <w:rFonts w:hint="eastAsia"/>
          <w:lang w:eastAsia="zh-CN"/>
        </w:rPr>
      </w:pPr>
    </w:p>
    <w:p w14:paraId="5FB0FD63">
      <w:pPr>
        <w:rPr>
          <w:rFonts w:hint="eastAsia"/>
          <w:lang w:eastAsia="zh-CN"/>
        </w:rPr>
      </w:pPr>
    </w:p>
    <w:p w14:paraId="72743474">
      <w:pPr>
        <w:rPr>
          <w:rFonts w:hint="eastAsia"/>
          <w:lang w:eastAsia="zh-CN"/>
        </w:rPr>
      </w:pPr>
    </w:p>
    <w:p w14:paraId="645275F9">
      <w:pPr>
        <w:rPr>
          <w:rFonts w:hint="eastAsia"/>
          <w:lang w:eastAsia="zh-CN"/>
        </w:rPr>
      </w:pPr>
    </w:p>
    <w:p w14:paraId="60E1EB92">
      <w:pPr>
        <w:rPr>
          <w:rFonts w:hint="eastAsia"/>
          <w:lang w:eastAsia="zh-CN"/>
        </w:rPr>
      </w:pPr>
    </w:p>
    <w:p w14:paraId="4306A3B2">
      <w:pPr>
        <w:rPr>
          <w:rFonts w:hint="eastAsia"/>
          <w:lang w:eastAsia="zh-CN"/>
        </w:rPr>
      </w:pPr>
    </w:p>
    <w:p w14:paraId="33972586">
      <w:pPr>
        <w:rPr>
          <w:rFonts w:hint="eastAsia"/>
          <w:lang w:eastAsia="zh-CN"/>
        </w:rPr>
      </w:pPr>
    </w:p>
    <w:p w14:paraId="42428447">
      <w:pPr>
        <w:rPr>
          <w:rFonts w:hint="eastAsia"/>
          <w:lang w:eastAsia="zh-CN"/>
        </w:rPr>
      </w:pPr>
    </w:p>
    <w:p w14:paraId="268C1902">
      <w:pPr>
        <w:rPr>
          <w:rFonts w:hint="eastAsia"/>
          <w:lang w:eastAsia="zh-CN"/>
        </w:rPr>
      </w:pPr>
    </w:p>
    <w:p w14:paraId="0ADFCDD6">
      <w:pPr>
        <w:rPr>
          <w:rFonts w:hint="eastAsia"/>
          <w:lang w:eastAsia="zh-CN"/>
        </w:rPr>
      </w:pPr>
    </w:p>
    <w:p w14:paraId="2FDA49B1">
      <w:pPr>
        <w:rPr>
          <w:rFonts w:hint="eastAsia"/>
          <w:lang w:eastAsia="zh-CN"/>
        </w:rPr>
      </w:pPr>
    </w:p>
    <w:p w14:paraId="4D933435">
      <w:pPr>
        <w:rPr>
          <w:rFonts w:hint="eastAsia"/>
          <w:lang w:eastAsia="zh-CN"/>
        </w:rPr>
      </w:pPr>
    </w:p>
    <w:p w14:paraId="6CA39B18">
      <w:pPr>
        <w:rPr>
          <w:rFonts w:hint="eastAsia"/>
          <w:lang w:eastAsia="zh-CN"/>
        </w:rPr>
      </w:pPr>
    </w:p>
    <w:p w14:paraId="59B455D2">
      <w:pPr>
        <w:rPr>
          <w:rFonts w:hint="eastAsia"/>
          <w:lang w:eastAsia="zh-CN"/>
        </w:rPr>
      </w:pPr>
    </w:p>
    <w:p w14:paraId="29A3B3CA">
      <w:pPr>
        <w:rPr>
          <w:rFonts w:hint="eastAsia"/>
          <w:lang w:eastAsia="zh-CN"/>
        </w:rPr>
      </w:pPr>
    </w:p>
    <w:p w14:paraId="45419784">
      <w:pPr>
        <w:rPr>
          <w:rFonts w:hint="eastAsia"/>
          <w:lang w:eastAsia="zh-CN"/>
        </w:rPr>
      </w:pPr>
    </w:p>
    <w:p w14:paraId="4F277E24">
      <w:pPr>
        <w:rPr>
          <w:rFonts w:hint="eastAsia"/>
          <w:lang w:eastAsia="zh-CN"/>
        </w:rPr>
      </w:pPr>
    </w:p>
    <w:p w14:paraId="3F34FB71">
      <w:pPr>
        <w:rPr>
          <w:rFonts w:hint="eastAsia"/>
          <w:lang w:eastAsia="zh-CN"/>
        </w:rPr>
      </w:pPr>
    </w:p>
    <w:p w14:paraId="375B4959">
      <w:pPr>
        <w:rPr>
          <w:rFonts w:hint="eastAsia"/>
          <w:lang w:eastAsia="zh-CN"/>
        </w:rPr>
      </w:pPr>
    </w:p>
    <w:p w14:paraId="654A794D">
      <w:pPr>
        <w:rPr>
          <w:rFonts w:hint="eastAsia"/>
          <w:lang w:eastAsia="zh-CN"/>
        </w:rPr>
      </w:pPr>
    </w:p>
    <w:p w14:paraId="5BAC9420">
      <w:pPr>
        <w:rPr>
          <w:rFonts w:hint="eastAsia"/>
          <w:lang w:eastAsia="zh-CN"/>
        </w:rPr>
      </w:pPr>
    </w:p>
    <w:p w14:paraId="4BF2B290">
      <w:pPr>
        <w:rPr>
          <w:rFonts w:hint="eastAsia"/>
          <w:lang w:eastAsia="zh-CN"/>
        </w:rPr>
      </w:pPr>
    </w:p>
    <w:p w14:paraId="2833A2D6">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101" w:name="_Toc23393"/>
      <w:r>
        <w:rPr>
          <w:rFonts w:hint="eastAsia" w:asciiTheme="majorEastAsia" w:hAnsiTheme="majorEastAsia" w:eastAsiaTheme="majorEastAsia"/>
          <w:sz w:val="30"/>
          <w:szCs w:val="30"/>
          <w:lang w:val="en-US" w:eastAsia="zh-CN"/>
        </w:rPr>
        <w:t>（二十七）</w:t>
      </w:r>
      <w:r>
        <w:rPr>
          <w:rFonts w:hint="eastAsia" w:hAnsi="宋体" w:cs="Times New Roman" w:eastAsiaTheme="majorEastAsia"/>
          <w:sz w:val="30"/>
          <w:szCs w:val="30"/>
          <w:lang w:val="en-US" w:eastAsia="zh-CN"/>
        </w:rPr>
        <w:t>征集文件要求的其他内容及投标人认为需要加以说明其他内容</w:t>
      </w:r>
      <w:bookmarkEnd w:id="101"/>
    </w:p>
    <w:p w14:paraId="7DC97AF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31DCB9E7">
      <w:pPr>
        <w:rPr>
          <w:rFonts w:hint="eastAsia"/>
          <w:lang w:eastAsia="zh-CN"/>
        </w:rPr>
      </w:pPr>
    </w:p>
    <w:p w14:paraId="7A2686DA">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1123D5C2">
      <w:pPr>
        <w:keepNext w:val="0"/>
        <w:keepLines w:val="0"/>
        <w:widowControl/>
        <w:numPr>
          <w:ilvl w:val="0"/>
          <w:numId w:val="0"/>
        </w:numPr>
        <w:suppressLineNumbers w:val="0"/>
        <w:jc w:val="both"/>
        <w:textAlignment w:val="center"/>
        <w:rPr>
          <w:rFonts w:hint="eastAsia" w:ascii="宋体" w:hAnsi="宋体" w:eastAsia="宋体" w:cs="宋体"/>
          <w:color w:val="000000"/>
          <w:kern w:val="2"/>
          <w:sz w:val="30"/>
          <w:szCs w:val="30"/>
          <w:lang w:val="en-US" w:eastAsia="zh-CN" w:bidi="ar"/>
        </w:rPr>
      </w:pPr>
      <w:bookmarkStart w:id="102" w:name="_Toc438223136"/>
      <w:bookmarkStart w:id="103" w:name="_Toc1658"/>
      <w:bookmarkStart w:id="104" w:name="_Toc435516650"/>
      <w:bookmarkStart w:id="105" w:name="_Toc435174933"/>
      <w:bookmarkStart w:id="106" w:name="_Toc14580"/>
      <w:bookmarkStart w:id="107" w:name="_Toc11652"/>
    </w:p>
    <w:p w14:paraId="12AF93DD">
      <w:pPr>
        <w:keepNext w:val="0"/>
        <w:keepLines w:val="0"/>
        <w:widowControl/>
        <w:numPr>
          <w:ilvl w:val="0"/>
          <w:numId w:val="0"/>
        </w:numPr>
        <w:suppressLineNumbers w:val="0"/>
        <w:jc w:val="center"/>
        <w:textAlignment w:val="center"/>
        <w:rPr>
          <w:rFonts w:hint="eastAsia" w:ascii="宋体" w:hAnsi="宋体" w:eastAsia="宋体" w:cs="宋体"/>
          <w:color w:val="000000"/>
          <w:kern w:val="2"/>
          <w:sz w:val="30"/>
          <w:szCs w:val="30"/>
          <w:lang w:val="en-US" w:eastAsia="zh-CN" w:bidi="ar"/>
        </w:rPr>
      </w:pPr>
    </w:p>
    <w:p w14:paraId="79411F40">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389BA55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A60B9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6556F5">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06F2EE0">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081E5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138DCA">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10E9FFD5">
      <w:pPr>
        <w:pStyle w:val="3"/>
        <w:numPr>
          <w:ilvl w:val="0"/>
          <w:numId w:val="17"/>
        </w:numPr>
        <w:spacing w:line="240" w:lineRule="auto"/>
        <w:jc w:val="center"/>
        <w:outlineLvl w:val="0"/>
        <w:rPr>
          <w:rFonts w:asciiTheme="majorEastAsia" w:hAnsiTheme="majorEastAsia" w:eastAsiaTheme="majorEastAsia"/>
          <w:sz w:val="32"/>
          <w:szCs w:val="32"/>
          <w:lang w:eastAsia="zh-TW"/>
        </w:rPr>
      </w:pPr>
      <w:bookmarkStart w:id="108" w:name="_Toc30434"/>
      <w:r>
        <w:rPr>
          <w:rFonts w:asciiTheme="majorEastAsia" w:hAnsiTheme="majorEastAsia" w:eastAsiaTheme="majorEastAsia"/>
          <w:sz w:val="32"/>
          <w:szCs w:val="32"/>
          <w:lang w:eastAsia="zh-TW"/>
        </w:rPr>
        <w:t>说 明</w:t>
      </w:r>
      <w:bookmarkEnd w:id="102"/>
      <w:bookmarkEnd w:id="103"/>
      <w:bookmarkEnd w:id="104"/>
      <w:bookmarkEnd w:id="105"/>
      <w:bookmarkEnd w:id="106"/>
      <w:bookmarkEnd w:id="107"/>
      <w:bookmarkEnd w:id="108"/>
      <w:bookmarkStart w:id="109"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p w14:paraId="2E0060AA">
      <w:pPr>
        <w:numPr>
          <w:ilvl w:val="0"/>
          <w:numId w:val="18"/>
        </w:numPr>
        <w:autoSpaceDE w:val="0"/>
        <w:autoSpaceDN w:val="0"/>
        <w:adjustRightInd w:val="0"/>
        <w:snapToGrid w:val="0"/>
        <w:spacing w:line="360" w:lineRule="auto"/>
        <w:outlineLvl w:val="1"/>
        <w:rPr>
          <w:rFonts w:ascii="宋体" w:hAnsi="宋体"/>
          <w:b/>
          <w:bCs/>
          <w:szCs w:val="21"/>
        </w:rPr>
      </w:pPr>
      <w:r>
        <w:rPr>
          <w:rFonts w:hint="eastAsia" w:ascii="宋体" w:hAnsi="宋体"/>
          <w:b/>
          <w:bCs/>
          <w:szCs w:val="21"/>
        </w:rPr>
        <w:t>适用范围</w:t>
      </w:r>
    </w:p>
    <w:p w14:paraId="1F1A13F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w:t>
      </w:r>
      <w:r>
        <w:rPr>
          <w:rFonts w:hint="eastAsia" w:ascii="宋体" w:hAnsi="宋体"/>
          <w:szCs w:val="21"/>
          <w:lang w:eastAsia="zh-CN"/>
        </w:rPr>
        <w:t>征集</w:t>
      </w:r>
      <w:r>
        <w:rPr>
          <w:rFonts w:hint="eastAsia" w:ascii="宋体" w:hAnsi="宋体"/>
          <w:szCs w:val="21"/>
        </w:rPr>
        <w:t>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文件适用于货物采购项目。</w:t>
      </w:r>
    </w:p>
    <w:p w14:paraId="568103BF">
      <w:pPr>
        <w:numPr>
          <w:ilvl w:val="0"/>
          <w:numId w:val="18"/>
        </w:numPr>
        <w:autoSpaceDE w:val="0"/>
        <w:autoSpaceDN w:val="0"/>
        <w:adjustRightInd w:val="0"/>
        <w:snapToGrid w:val="0"/>
        <w:spacing w:line="360" w:lineRule="auto"/>
        <w:ind w:left="449" w:hanging="449" w:hangingChars="213"/>
        <w:outlineLvl w:val="1"/>
        <w:rPr>
          <w:rFonts w:ascii="宋体" w:hAnsi="宋体"/>
          <w:b/>
          <w:bCs/>
          <w:strike/>
          <w:szCs w:val="21"/>
        </w:rPr>
      </w:pPr>
      <w:r>
        <w:rPr>
          <w:rFonts w:hint="eastAsia" w:ascii="宋体" w:hAnsi="宋体"/>
          <w:b/>
          <w:szCs w:val="21"/>
        </w:rPr>
        <w:t>定义</w:t>
      </w:r>
    </w:p>
    <w:p w14:paraId="56CC93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4ED6117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4C4B941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w:t>
      </w:r>
      <w:r>
        <w:rPr>
          <w:rFonts w:hint="eastAsia" w:ascii="宋体" w:hAnsi="宋体"/>
          <w:szCs w:val="21"/>
          <w:lang w:eastAsia="zh-CN"/>
        </w:rPr>
        <w:t>征集</w:t>
      </w:r>
      <w:r>
        <w:rPr>
          <w:rFonts w:hint="eastAsia" w:ascii="宋体" w:hAnsi="宋体"/>
          <w:szCs w:val="21"/>
        </w:rPr>
        <w:t>、参加投标竞争的法人、其他组织或者自然人。</w:t>
      </w:r>
    </w:p>
    <w:p w14:paraId="394F017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w:t>
      </w:r>
      <w:r>
        <w:rPr>
          <w:rFonts w:hint="eastAsia" w:ascii="宋体" w:hAnsi="宋体"/>
          <w:szCs w:val="21"/>
        </w:rPr>
        <w:t>指由本次</w:t>
      </w:r>
      <w:r>
        <w:rPr>
          <w:rFonts w:hint="eastAsia" w:ascii="宋体" w:hAnsi="宋体"/>
          <w:szCs w:val="21"/>
          <w:lang w:eastAsia="zh-CN"/>
        </w:rPr>
        <w:t>征集</w:t>
      </w:r>
      <w:r>
        <w:rPr>
          <w:rFonts w:hint="eastAsia" w:ascii="宋体" w:hAnsi="宋体"/>
          <w:szCs w:val="21"/>
        </w:rPr>
        <w:t>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征集</w:t>
      </w:r>
      <w:r>
        <w:rPr>
          <w:rFonts w:hint="eastAsia" w:ascii="宋体" w:hAnsi="宋体"/>
          <w:szCs w:val="21"/>
        </w:rPr>
        <w:t>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征集</w:t>
      </w:r>
      <w:r>
        <w:rPr>
          <w:rFonts w:hint="eastAsia" w:ascii="宋体" w:hAnsi="宋体"/>
          <w:szCs w:val="21"/>
        </w:rPr>
        <w:t>文件中的标题或题名仅起引导作用，而不应视为对</w:t>
      </w:r>
      <w:r>
        <w:rPr>
          <w:rFonts w:hint="eastAsia" w:ascii="宋体" w:hAnsi="宋体"/>
          <w:szCs w:val="21"/>
          <w:lang w:eastAsia="zh-CN"/>
        </w:rPr>
        <w:t>征集</w:t>
      </w:r>
      <w:r>
        <w:rPr>
          <w:rFonts w:hint="eastAsia" w:ascii="宋体" w:hAnsi="宋体"/>
          <w:szCs w:val="21"/>
        </w:rPr>
        <w:t>文件内容的理解和解释。</w:t>
      </w:r>
    </w:p>
    <w:p w14:paraId="2FEA030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43B4B94A">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合格的货物和服务</w:t>
      </w:r>
    </w:p>
    <w:p w14:paraId="55A015B2">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征集</w:t>
      </w:r>
      <w:r>
        <w:rPr>
          <w:rFonts w:hint="eastAsia" w:ascii="宋体" w:hAnsi="宋体"/>
          <w:szCs w:val="21"/>
        </w:rPr>
        <w:t>文件要求的货物等。投标的货物必须是其合法生产、合法来源的符合国家有关标准要求的货物，并满足</w:t>
      </w:r>
      <w:r>
        <w:rPr>
          <w:rFonts w:hint="eastAsia" w:ascii="宋体" w:hAnsi="宋体"/>
          <w:szCs w:val="21"/>
          <w:lang w:eastAsia="zh-CN"/>
        </w:rPr>
        <w:t>征集</w:t>
      </w:r>
      <w:r>
        <w:rPr>
          <w:rFonts w:hint="eastAsia" w:ascii="宋体" w:hAnsi="宋体"/>
          <w:szCs w:val="21"/>
        </w:rPr>
        <w:t>文件规定的规格、参数、质量、价格、有效期、售后服务等要求。</w:t>
      </w:r>
    </w:p>
    <w:p w14:paraId="55B54F1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征集</w:t>
      </w:r>
      <w:r>
        <w:rPr>
          <w:rFonts w:hint="eastAsia" w:ascii="宋体" w:hAnsi="宋体"/>
          <w:szCs w:val="21"/>
        </w:rPr>
        <w:t>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w:t>
      </w:r>
      <w:r>
        <w:rPr>
          <w:rFonts w:hint="eastAsia" w:ascii="宋体" w:hAnsi="宋体"/>
          <w:szCs w:val="21"/>
          <w:lang w:eastAsia="zh-CN"/>
        </w:rPr>
        <w:t>征集</w:t>
      </w:r>
      <w:r>
        <w:rPr>
          <w:rFonts w:hint="eastAsia" w:ascii="宋体" w:hAnsi="宋体"/>
          <w:szCs w:val="21"/>
        </w:rPr>
        <w:t>公告有其他要求的，亦应符合其要求。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征集</w:t>
      </w:r>
      <w:r>
        <w:rPr>
          <w:rFonts w:hint="eastAsia" w:ascii="宋体" w:hAnsi="宋体"/>
          <w:szCs w:val="21"/>
        </w:rPr>
        <w:t>公告有其他要求的，亦应符合其要求。</w:t>
      </w:r>
    </w:p>
    <w:p w14:paraId="2D2B598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6AF5FA38">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10"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10"/>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2F0FD98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其他</w:t>
      </w:r>
    </w:p>
    <w:p w14:paraId="0443654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5395CA3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42DF89C">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的供应商限制参与政府采购。</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bCs/>
          <w:color w:val="auto"/>
          <w:szCs w:val="21"/>
          <w:highlight w:val="none"/>
          <w:lang w:eastAsia="zh-CN"/>
        </w:rPr>
        <w:t>深圳市政府采购监管网</w:t>
      </w:r>
      <w:r>
        <w:rPr>
          <w:rFonts w:hint="eastAsia" w:cs="宋体" w:asciiTheme="minorEastAsia" w:hAnsiTheme="minorEastAsia" w:eastAsiaTheme="minorEastAsia"/>
          <w:bCs/>
          <w:color w:val="auto"/>
          <w:szCs w:val="21"/>
          <w:highlight w:val="none"/>
        </w:rPr>
        <w:t>（zfcg.sz.gov.cn）查询相关主体信用记录，对不符合《中华人民共和国政府采购法》第二十二条规定条件的供应商限制参与政府采购。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征集文件</w:t>
      </w:r>
    </w:p>
    <w:p w14:paraId="1C971EE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征集文件注意事项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文件后，应仔细检查</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文件所有的事项、格式、条款和规范要求等，如果投标人的投标文件没有按</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文件要求提交全部资料或者投标文件没有对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文件澄清的目的是澄清、解答投标人在查阅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文件后或现场踏勘中可能提出的与投标有关的疑问或询问。</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文件进行澄清或者对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文件有限制性、倾向性条款提出</w:t>
      </w:r>
      <w:r>
        <w:rPr>
          <w:rFonts w:hint="eastAsia" w:cs="宋体" w:asciiTheme="minorEastAsia" w:hAnsiTheme="minorEastAsia"/>
          <w:bCs/>
          <w:color w:val="auto"/>
          <w:szCs w:val="21"/>
          <w:highlight w:val="none"/>
          <w:lang w:val="en-US" w:eastAsia="zh-CN"/>
        </w:rPr>
        <w:t>征集答疑</w:t>
      </w:r>
      <w:r>
        <w:rPr>
          <w:rFonts w:hint="eastAsia" w:cs="宋体" w:asciiTheme="minorEastAsia" w:hAnsiTheme="minorEastAsia" w:eastAsiaTheme="minorEastAsia"/>
          <w:bCs/>
          <w:color w:val="auto"/>
          <w:szCs w:val="21"/>
          <w:highlight w:val="none"/>
        </w:rPr>
        <w:t>的投标人，均应于“</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文件进行必要的澄清或是根据投标人的要求对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文件发出后，在投标截止日期前任何时候，确需要变更</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文件修改补充通知内容均以书面明确的内容为准。当</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default" w:cs="宋体" w:asciiTheme="majorEastAsia" w:hAnsiTheme="majorEastAsia" w:eastAsiaTheme="majorEastAsia"/>
          <w:kern w:val="2"/>
          <w:sz w:val="30"/>
          <w:szCs w:val="30"/>
          <w:lang w:val="en-US" w:eastAsia="zh-CN" w:bidi="ar-SA"/>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文件澄清（答疑）纪要和</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0580318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投标文件的编制</w:t>
      </w:r>
    </w:p>
    <w:p w14:paraId="55F387D7">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投标的语言</w:t>
      </w:r>
      <w:r>
        <w:rPr>
          <w:rFonts w:hint="eastAsia" w:ascii="宋体" w:hAnsi="宋体"/>
          <w:b/>
          <w:bCs/>
          <w:szCs w:val="21"/>
          <w:lang w:val="en-US" w:eastAsia="zh-CN"/>
        </w:rPr>
        <w:t>及度量单位</w:t>
      </w:r>
    </w:p>
    <w:p w14:paraId="66357834">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DC662A9">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投标文件的构成</w:t>
      </w:r>
    </w:p>
    <w:p w14:paraId="24A4618B">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E16C161">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征集</w:t>
      </w:r>
      <w:r>
        <w:rPr>
          <w:rFonts w:hint="eastAsia" w:ascii="宋体" w:hAnsi="宋体" w:cs="宋体"/>
          <w:szCs w:val="21"/>
        </w:rPr>
        <w:t>文件的要求。</w:t>
      </w:r>
    </w:p>
    <w:p w14:paraId="1919BC95">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投标文件的编写</w:t>
      </w:r>
    </w:p>
    <w:p w14:paraId="04144B34">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征集</w:t>
      </w:r>
      <w:r>
        <w:rPr>
          <w:rFonts w:hint="eastAsia" w:ascii="宋体" w:hAnsi="宋体" w:cs="宋体"/>
          <w:szCs w:val="21"/>
        </w:rPr>
        <w:t>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0FBA6FBE">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708314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征集</w:t>
      </w:r>
      <w:r>
        <w:rPr>
          <w:rFonts w:hint="eastAsia" w:ascii="宋体" w:hAnsi="宋体" w:cs="宋体"/>
          <w:szCs w:val="21"/>
        </w:rPr>
        <w:t>文件要求的部分内容和附件，或没有提供</w:t>
      </w:r>
      <w:r>
        <w:rPr>
          <w:rFonts w:hint="eastAsia" w:ascii="宋体" w:hAnsi="宋体" w:cs="宋体"/>
          <w:szCs w:val="21"/>
          <w:lang w:eastAsia="zh-CN"/>
        </w:rPr>
        <w:t>征集</w:t>
      </w:r>
      <w:r>
        <w:rPr>
          <w:rFonts w:hint="eastAsia" w:ascii="宋体" w:hAnsi="宋体" w:cs="宋体"/>
          <w:szCs w:val="21"/>
        </w:rPr>
        <w:t>文件中所要求的资料及数据，由此造成的后果和责任由投标人承担。</w:t>
      </w:r>
    </w:p>
    <w:p w14:paraId="28A4F1D1">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征集</w:t>
      </w:r>
      <w:r>
        <w:rPr>
          <w:rFonts w:hint="eastAsia" w:ascii="宋体" w:hAnsi="宋体" w:cs="宋体"/>
          <w:szCs w:val="21"/>
        </w:rPr>
        <w:t>文件的全部内容（包括所有的补充、修改内容重要事项、格式、条款和技术规范、参数及要求等）。投标人没有按照</w:t>
      </w:r>
      <w:r>
        <w:rPr>
          <w:rFonts w:hint="eastAsia" w:ascii="宋体" w:hAnsi="宋体" w:cs="宋体"/>
          <w:szCs w:val="21"/>
          <w:lang w:eastAsia="zh-CN"/>
        </w:rPr>
        <w:t>征集</w:t>
      </w:r>
      <w:r>
        <w:rPr>
          <w:rFonts w:hint="eastAsia" w:ascii="宋体" w:hAnsi="宋体" w:cs="宋体"/>
          <w:szCs w:val="21"/>
        </w:rPr>
        <w:t>文件要求提交资料，或者投标文件没有对</w:t>
      </w:r>
      <w:r>
        <w:rPr>
          <w:rFonts w:hint="eastAsia" w:ascii="宋体" w:hAnsi="宋体" w:cs="宋体"/>
          <w:szCs w:val="21"/>
          <w:lang w:eastAsia="zh-CN"/>
        </w:rPr>
        <w:t>征集</w:t>
      </w:r>
      <w:r>
        <w:rPr>
          <w:rFonts w:hint="eastAsia" w:ascii="宋体" w:hAnsi="宋体" w:cs="宋体"/>
          <w:szCs w:val="21"/>
        </w:rPr>
        <w:t>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征集</w:t>
      </w:r>
      <w:r>
        <w:rPr>
          <w:rFonts w:hint="eastAsia" w:ascii="宋体" w:hAnsi="宋体" w:cs="宋体"/>
          <w:szCs w:val="21"/>
        </w:rPr>
        <w:t>文件提供了投标文件格式，则投标人提交的投标文件必须毫无例外地使用</w:t>
      </w:r>
      <w:r>
        <w:rPr>
          <w:rFonts w:hint="eastAsia" w:ascii="宋体" w:hAnsi="宋体" w:cs="宋体"/>
          <w:szCs w:val="21"/>
          <w:lang w:eastAsia="zh-CN"/>
        </w:rPr>
        <w:t>征集</w:t>
      </w:r>
      <w:r>
        <w:rPr>
          <w:rFonts w:hint="eastAsia" w:ascii="宋体" w:hAnsi="宋体" w:cs="宋体"/>
          <w:szCs w:val="21"/>
        </w:rPr>
        <w:t>文件所提供的相应格式（表格可以按同样格式扩展）。</w:t>
      </w:r>
    </w:p>
    <w:p w14:paraId="190852A7">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投标报价</w:t>
      </w:r>
    </w:p>
    <w:p w14:paraId="733C0A94">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5DF300D4">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6DB19D55">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征集</w:t>
      </w:r>
      <w:r>
        <w:rPr>
          <w:rFonts w:hint="eastAsia" w:ascii="宋体" w:hAnsi="宋体" w:cs="宋体"/>
          <w:szCs w:val="21"/>
        </w:rPr>
        <w:t>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7E263CCB">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6ED41D7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0E9C73E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w:t>
      </w:r>
      <w:r>
        <w:rPr>
          <w:rFonts w:hint="eastAsia" w:ascii="宋体" w:hAnsi="宋体"/>
          <w:szCs w:val="21"/>
          <w:lang w:eastAsia="zh-CN"/>
        </w:rPr>
        <w:t>征集</w:t>
      </w:r>
      <w:r>
        <w:rPr>
          <w:rFonts w:hint="eastAsia" w:ascii="宋体" w:hAnsi="宋体"/>
          <w:szCs w:val="21"/>
        </w:rPr>
        <w:t>不接受选择性报价，</w:t>
      </w:r>
      <w:r>
        <w:rPr>
          <w:rFonts w:hint="eastAsia" w:ascii="宋体" w:hAnsi="宋体" w:cs="宋体"/>
          <w:szCs w:val="21"/>
        </w:rPr>
        <w:t>否则将被视为无效投标。</w:t>
      </w:r>
    </w:p>
    <w:p w14:paraId="5AC09862">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w:t>
      </w:r>
      <w:r>
        <w:rPr>
          <w:rFonts w:hint="eastAsia" w:ascii="宋体" w:hAnsi="宋体"/>
          <w:szCs w:val="21"/>
          <w:lang w:eastAsia="zh-CN"/>
        </w:rPr>
        <w:t>征集</w:t>
      </w:r>
      <w:r>
        <w:rPr>
          <w:rFonts w:hint="eastAsia" w:ascii="宋体" w:hAnsi="宋体"/>
          <w:szCs w:val="21"/>
        </w:rPr>
        <w:t>不接受具有附加条件的报价，</w:t>
      </w:r>
      <w:r>
        <w:rPr>
          <w:rFonts w:hint="eastAsia" w:ascii="宋体" w:hAnsi="宋体" w:cs="宋体"/>
          <w:szCs w:val="21"/>
        </w:rPr>
        <w:t>否则将被视为无效投标。</w:t>
      </w:r>
    </w:p>
    <w:p w14:paraId="40454908">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投标货币</w:t>
      </w:r>
    </w:p>
    <w:p w14:paraId="107E9840">
      <w:pPr>
        <w:numPr>
          <w:ilvl w:val="1"/>
          <w:numId w:val="18"/>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529D9EB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联合体投标</w:t>
      </w:r>
    </w:p>
    <w:p w14:paraId="13263501">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22D0250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2E2B9CE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0A51A90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5F76F8">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02DA745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证明投标人合格和资格的文件</w:t>
      </w:r>
    </w:p>
    <w:p w14:paraId="0423D237">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19AD10F9">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27EA412B">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ascii="宋体" w:hAnsi="宋体"/>
          <w:b/>
          <w:bCs/>
          <w:szCs w:val="21"/>
        </w:rPr>
        <w:t>证明投标标的的合格性和符合</w:t>
      </w:r>
      <w:r>
        <w:rPr>
          <w:rFonts w:hint="eastAsia" w:ascii="宋体" w:hAnsi="宋体"/>
          <w:b/>
          <w:bCs/>
          <w:szCs w:val="21"/>
          <w:lang w:eastAsia="zh-CN"/>
        </w:rPr>
        <w:t>征集</w:t>
      </w:r>
      <w:r>
        <w:rPr>
          <w:rFonts w:ascii="宋体" w:hAnsi="宋体"/>
          <w:b/>
          <w:bCs/>
          <w:szCs w:val="21"/>
        </w:rPr>
        <w:t>文件规定的文件</w:t>
      </w:r>
    </w:p>
    <w:p w14:paraId="21DCD9E2">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征集</w:t>
      </w:r>
      <w:r>
        <w:rPr>
          <w:rFonts w:hint="eastAsia" w:ascii="宋体" w:hAnsi="宋体" w:cs="宋体"/>
          <w:szCs w:val="21"/>
        </w:rPr>
        <w:t>文件规定。该证明文件作为投标文件的一部分。</w:t>
      </w:r>
    </w:p>
    <w:p w14:paraId="6147E617">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C2B53B0">
      <w:pPr>
        <w:numPr>
          <w:ilvl w:val="1"/>
          <w:numId w:val="18"/>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征集</w:t>
      </w:r>
      <w:r>
        <w:rPr>
          <w:rFonts w:hint="eastAsia" w:ascii="宋体" w:hAnsi="宋体" w:cs="宋体"/>
          <w:color w:val="auto"/>
          <w:szCs w:val="21"/>
        </w:rPr>
        <w:t>文件的要求相一致的文件，可以是文字资料、图纸和数据。</w:t>
      </w:r>
    </w:p>
    <w:p w14:paraId="4CF63A70">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投标文件的式样和签署、密封</w:t>
      </w:r>
    </w:p>
    <w:p w14:paraId="5606D124">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征集须知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1A358079">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征集</w:t>
      </w:r>
      <w:r>
        <w:rPr>
          <w:rFonts w:hint="eastAsia" w:ascii="宋体" w:hAnsi="宋体" w:cs="宋体"/>
          <w:szCs w:val="21"/>
        </w:rPr>
        <w:t>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5A13C7B4">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69661B2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征集</w:t>
      </w:r>
      <w:r>
        <w:rPr>
          <w:rFonts w:hint="eastAsia" w:ascii="宋体" w:hAnsi="宋体" w:cs="宋体"/>
          <w:szCs w:val="21"/>
        </w:rPr>
        <w:t>文件要求签名的由法定代表人或经其正式授权的代表签字或盖章，以及</w:t>
      </w:r>
      <w:r>
        <w:rPr>
          <w:rFonts w:hint="eastAsia" w:ascii="宋体" w:hAnsi="宋体" w:cs="宋体"/>
          <w:szCs w:val="21"/>
          <w:lang w:eastAsia="zh-CN"/>
        </w:rPr>
        <w:t>征集</w:t>
      </w:r>
      <w:r>
        <w:rPr>
          <w:rFonts w:hint="eastAsia" w:ascii="宋体" w:hAnsi="宋体" w:cs="宋体"/>
          <w:szCs w:val="21"/>
        </w:rPr>
        <w:t>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23F0BAF0">
      <w:pPr>
        <w:numPr>
          <w:ilvl w:val="2"/>
          <w:numId w:val="18"/>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28DFAD45">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6DD1CE88">
      <w:pPr>
        <w:numPr>
          <w:ilvl w:val="2"/>
          <w:numId w:val="18"/>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征集</w:t>
      </w:r>
      <w:r>
        <w:rPr>
          <w:rFonts w:hint="eastAsia" w:ascii="宋体" w:hAnsi="宋体" w:cs="宋体"/>
          <w:szCs w:val="21"/>
        </w:rPr>
        <w:t>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7DBFE547">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投标文件的递交</w:t>
      </w:r>
    </w:p>
    <w:p w14:paraId="5468F946">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投标文件递交</w:t>
      </w:r>
    </w:p>
    <w:p w14:paraId="62E7BD07">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BF5B7EE">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征集</w:t>
      </w:r>
      <w:r>
        <w:rPr>
          <w:rFonts w:hint="eastAsia" w:ascii="宋体" w:hAnsi="宋体"/>
        </w:rPr>
        <w:t>文件要求密封的投标文件，采购人应当拒收。</w:t>
      </w:r>
    </w:p>
    <w:p w14:paraId="4E5AD5BF">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w:t>
      </w:r>
      <w:r>
        <w:rPr>
          <w:rFonts w:hint="eastAsia" w:ascii="宋体" w:hAnsi="宋体"/>
          <w:lang w:eastAsia="zh-CN"/>
        </w:rPr>
        <w:t>征集</w:t>
      </w:r>
      <w:r>
        <w:rPr>
          <w:rFonts w:hint="eastAsia" w:ascii="宋体" w:hAnsi="宋体"/>
        </w:rPr>
        <w:t>公告中规定的开标时间）前不准启封的字样。</w:t>
      </w:r>
    </w:p>
    <w:p w14:paraId="5C42D29C">
      <w:pPr>
        <w:numPr>
          <w:ilvl w:val="1"/>
          <w:numId w:val="18"/>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08214C5C">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投标文件的修改和撤回、撤销</w:t>
      </w:r>
    </w:p>
    <w:p w14:paraId="76103B6C">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征集</w:t>
      </w:r>
      <w:r>
        <w:rPr>
          <w:rFonts w:hint="eastAsia" w:ascii="宋体" w:hAnsi="宋体" w:cs="宋体"/>
          <w:szCs w:val="21"/>
        </w:rPr>
        <w:t>文件要求签署、盖章、密封后，并作为投标文件的组成部分。在投标截止时间之后，投标人不得对其投标文件做任何修改和补充。</w:t>
      </w:r>
    </w:p>
    <w:p w14:paraId="7EDEA7B7">
      <w:pPr>
        <w:numPr>
          <w:ilvl w:val="1"/>
          <w:numId w:val="18"/>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征集</w:t>
      </w:r>
      <w:r>
        <w:rPr>
          <w:rFonts w:hint="eastAsia" w:ascii="宋体" w:hAnsi="宋体"/>
          <w:bCs/>
        </w:rPr>
        <w:t>文件中规定的投标有效期内不可撤销其投标。</w:t>
      </w:r>
      <w:r>
        <w:rPr>
          <w:rFonts w:hint="eastAsia" w:ascii="宋体" w:hAnsi="宋体"/>
        </w:rPr>
        <w:t>投标人所提交的投标文件在本项目投标截止时间后均不予退还。</w:t>
      </w:r>
    </w:p>
    <w:p w14:paraId="0EF462A0">
      <w:pPr>
        <w:numPr>
          <w:ilvl w:val="0"/>
          <w:numId w:val="18"/>
        </w:numPr>
        <w:autoSpaceDE w:val="0"/>
        <w:autoSpaceDN w:val="0"/>
        <w:adjustRightInd w:val="0"/>
        <w:snapToGrid w:val="0"/>
        <w:spacing w:line="360" w:lineRule="auto"/>
        <w:ind w:left="449" w:hanging="449" w:hangingChars="213"/>
        <w:outlineLvl w:val="1"/>
        <w:rPr>
          <w:rFonts w:ascii="宋体" w:hAnsi="宋体" w:cs="黑体"/>
          <w:bCs/>
          <w:szCs w:val="21"/>
        </w:rPr>
      </w:pPr>
      <w:r>
        <w:rPr>
          <w:rFonts w:hint="eastAsia" w:ascii="宋体" w:hAnsi="宋体"/>
          <w:b/>
          <w:bCs/>
          <w:szCs w:val="21"/>
        </w:rPr>
        <w:t>质疑</w:t>
      </w:r>
    </w:p>
    <w:p w14:paraId="18EEFB3E">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07BB046">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1C64829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67D4514A">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06640A3B">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24C27A2E">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16F50CEB">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43C5C01F">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2A7EC70B">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DC08CDC">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4B818455">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见征集公告</w:t>
      </w:r>
      <w:r>
        <w:rPr>
          <w:rFonts w:hint="eastAsia" w:ascii="宋体" w:hAnsi="宋体" w:eastAsia="宋体" w:cs="宋体"/>
          <w:szCs w:val="21"/>
        </w:rPr>
        <w:t>。</w:t>
      </w:r>
    </w:p>
    <w:p w14:paraId="13661455">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8"/>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2C883908">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中标通知书</w:t>
      </w:r>
    </w:p>
    <w:p w14:paraId="29FDC447">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43D75BA6">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5CDC22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授予合同</w:t>
      </w:r>
    </w:p>
    <w:p w14:paraId="3B3556D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合同的订立</w:t>
      </w:r>
    </w:p>
    <w:p w14:paraId="0B51708C">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征集</w:t>
      </w:r>
      <w:r>
        <w:rPr>
          <w:rFonts w:hint="eastAsia" w:ascii="宋体" w:hAnsi="宋体" w:cs="宋体"/>
          <w:szCs w:val="21"/>
        </w:rPr>
        <w:t>文件和中标人投标文件的约定，与中标人签订书面合同。所签订的合同不得对</w:t>
      </w:r>
      <w:r>
        <w:rPr>
          <w:rFonts w:hint="eastAsia" w:ascii="宋体" w:hAnsi="宋体" w:cs="宋体"/>
          <w:szCs w:val="21"/>
          <w:lang w:eastAsia="zh-CN"/>
        </w:rPr>
        <w:t>征集</w:t>
      </w:r>
      <w:r>
        <w:rPr>
          <w:rFonts w:hint="eastAsia" w:ascii="宋体" w:hAnsi="宋体" w:cs="宋体"/>
          <w:szCs w:val="21"/>
        </w:rPr>
        <w:t>文件和中标人投标文件作实质性修改。</w:t>
      </w:r>
    </w:p>
    <w:p w14:paraId="08E32BA9">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73A742E0">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7F3555E2">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7CF87EA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合同的履行</w:t>
      </w:r>
    </w:p>
    <w:p w14:paraId="1A067EE9">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4F888CFD">
      <w:pPr>
        <w:numPr>
          <w:ilvl w:val="1"/>
          <w:numId w:val="18"/>
        </w:numPr>
        <w:autoSpaceDE w:val="0"/>
        <w:autoSpaceDN w:val="0"/>
        <w:adjustRightInd w:val="0"/>
        <w:snapToGrid w:val="0"/>
        <w:spacing w:line="360" w:lineRule="auto"/>
        <w:rPr>
          <w:b/>
          <w:sz w:val="52"/>
          <w:szCs w:val="52"/>
          <w:highlight w:val="none"/>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bookmarkEnd w:id="109"/>
      <w:r>
        <w:rPr>
          <w:rFonts w:hint="eastAsia" w:ascii="宋体" w:hAnsi="宋体" w:eastAsia="黑体" w:cs="宋体"/>
          <w:b/>
          <w:bCs/>
          <w:color w:val="000000" w:themeColor="text1"/>
          <w:kern w:val="2"/>
          <w:sz w:val="28"/>
          <w:szCs w:val="21"/>
          <w:lang w:val="en-US" w:eastAsia="zh-CN" w:bidi="ar-SA"/>
          <w14:textFill>
            <w14:solidFill>
              <w14:schemeClr w14:val="tx1"/>
            </w14:solidFill>
          </w14:textFill>
        </w:rPr>
        <w:t xml:space="preserve">     </w:t>
      </w:r>
      <w:bookmarkStart w:id="111" w:name="_Toc109889663"/>
      <w:bookmarkStart w:id="112" w:name="_Toc532"/>
      <w:bookmarkStart w:id="113" w:name="_Toc318878971"/>
      <w:bookmarkStart w:id="114" w:name="_Toc128037689"/>
      <w:bookmarkStart w:id="115" w:name="_Toc374439153"/>
    </w:p>
    <w:p w14:paraId="671D711A">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rFonts w:hint="eastAsia" w:ascii="仿宋_GB2312" w:hAnsi="仿宋_GB2312" w:eastAsia="仿宋_GB2312" w:cs="仿宋_GB2312"/>
          <w:b w:val="0"/>
          <w:bCs w:val="0"/>
          <w:sz w:val="32"/>
          <w:szCs w:val="3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b/>
          <w:sz w:val="52"/>
          <w:szCs w:val="52"/>
          <w:highlight w:val="none"/>
          <w:u w:val="single"/>
        </w:rPr>
      </w:pPr>
      <w:r>
        <w:rPr>
          <w:rFonts w:hint="eastAsia" w:ascii="仿宋_GB2312" w:hAnsi="仿宋_GB2312" w:eastAsia="仿宋_GB2312" w:cs="仿宋_GB2312"/>
          <w:b w:val="0"/>
          <w:bCs w:val="0"/>
          <w:sz w:val="32"/>
          <w:szCs w:val="32"/>
          <w:highlight w:val="none"/>
        </w:rPr>
        <w:t>合同编号：</w:t>
      </w:r>
      <w:r>
        <w:rPr>
          <w:rFonts w:hint="eastAsia" w:ascii="仿宋_GB2312" w:hAnsi="仿宋_GB2312" w:eastAsia="仿宋_GB2312" w:cs="仿宋_GB2312"/>
          <w:b w:val="0"/>
          <w:bCs w:val="0"/>
          <w:sz w:val="32"/>
          <w:szCs w:val="32"/>
          <w:highlight w:val="none"/>
          <w:lang w:val="en-US" w:eastAsia="zh-CN"/>
        </w:rPr>
        <w:t>FTEY-HC-</w:t>
      </w:r>
    </w:p>
    <w:p w14:paraId="682CB40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DDB6AF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080789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cs="宋体"/>
          <w:b/>
          <w:bCs/>
          <w:sz w:val="72"/>
          <w:szCs w:val="72"/>
          <w:highlight w:val="none"/>
        </w:rPr>
      </w:pPr>
    </w:p>
    <w:p w14:paraId="4CEDE95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r>
        <w:rPr>
          <w:rFonts w:hint="eastAsia" w:ascii="宋体" w:hAnsi="宋体" w:cs="宋体"/>
          <w:b/>
          <w:bCs/>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highlight w:val="none"/>
        </w:rPr>
      </w:pPr>
      <w:r>
        <w:rPr>
          <w:rFonts w:hint="eastAsia" w:ascii="宋体" w:hAnsi="宋体" w:cs="宋体"/>
          <w:b/>
          <w:bCs/>
          <w:sz w:val="72"/>
          <w:szCs w:val="72"/>
          <w:highlight w:val="none"/>
        </w:rPr>
        <w:t>耗材采购合同</w:t>
      </w:r>
    </w:p>
    <w:p w14:paraId="4F1576F3">
      <w:pPr>
        <w:bidi w:val="0"/>
        <w:jc w:val="center"/>
        <w:rPr>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9"/>
        <w:rPr>
          <w:rFonts w:ascii="宋体" w:hAnsi="宋体"/>
          <w:b/>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59361949">
      <w:pPr>
        <w:keepNext/>
        <w:keepLines/>
        <w:widowControl w:val="0"/>
        <w:spacing w:line="576" w:lineRule="auto"/>
        <w:jc w:val="both"/>
        <w:outlineLvl w:val="9"/>
        <w:rPr>
          <w:rFonts w:asciiTheme="minorHAnsi" w:hAnsiTheme="minorHAnsi" w:eastAsiaTheme="minorEastAsia" w:cstheme="minorBidi"/>
          <w:b/>
          <w:kern w:val="44"/>
          <w:sz w:val="44"/>
          <w:szCs w:val="24"/>
          <w:lang w:val="en-US" w:eastAsia="zh-CN" w:bidi="ar-SA"/>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color w:val="auto"/>
          <w:sz w:val="24"/>
          <w:highlight w:val="none"/>
        </w:rPr>
      </w:pPr>
    </w:p>
    <w:p w14:paraId="09F46B38">
      <w:pPr>
        <w:pageBreakBefore w:val="0"/>
        <w:kinsoku/>
        <w:overflowPunct/>
        <w:topLinePunct w:val="0"/>
        <w:autoSpaceDE/>
        <w:autoSpaceDN/>
        <w:bidi w:val="0"/>
        <w:adjustRightInd w:val="0"/>
        <w:snapToGrid w:val="0"/>
        <w:spacing w:beforeAutospacing="0" w:afterAutospacing="0" w:line="560" w:lineRule="exact"/>
        <w:ind w:left="0" w:leftChars="0"/>
        <w:jc w:val="both"/>
        <w:textAlignment w:val="auto"/>
        <w:outlineLvl w:val="9"/>
        <w:rPr>
          <w:rFonts w:hint="eastAsia" w:ascii="方正小标宋简体" w:hAnsi="方正小标宋简体" w:eastAsia="方正小标宋简体" w:cs="方正小标宋简体"/>
          <w:b w:val="0"/>
          <w:bCs/>
          <w:sz w:val="40"/>
          <w:szCs w:val="40"/>
          <w:highlight w:val="none"/>
        </w:rPr>
      </w:pPr>
    </w:p>
    <w:p w14:paraId="68AAC512">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p>
    <w:p w14:paraId="2B9C508F">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福田区</w:t>
      </w:r>
      <w:r>
        <w:rPr>
          <w:rFonts w:hint="eastAsia" w:ascii="方正小标宋简体" w:hAnsi="方正小标宋简体" w:eastAsia="方正小标宋简体" w:cs="方正小标宋简体"/>
          <w:b w:val="0"/>
          <w:bCs/>
          <w:sz w:val="40"/>
          <w:szCs w:val="40"/>
          <w:highlight w:val="none"/>
          <w:lang w:eastAsia="zh-CN"/>
        </w:rPr>
        <w:t>第二人民医院</w:t>
      </w:r>
      <w:r>
        <w:rPr>
          <w:rFonts w:hint="eastAsia" w:ascii="方正小标宋简体" w:hAnsi="方正小标宋简体" w:eastAsia="方正小标宋简体" w:cs="方正小标宋简体"/>
          <w:b w:val="0"/>
          <w:bCs/>
          <w:sz w:val="40"/>
          <w:szCs w:val="40"/>
          <w:highlight w:val="none"/>
        </w:rPr>
        <w:t>医用器械耗材采购合同</w:t>
      </w:r>
    </w:p>
    <w:p w14:paraId="2792CF6B">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highlight w:val="none"/>
        </w:rPr>
      </w:pPr>
    </w:p>
    <w:p w14:paraId="4AD88F6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5558FB8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p>
    <w:p w14:paraId="3DDC6E8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p>
    <w:p w14:paraId="48541DD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p>
    <w:p w14:paraId="7BF6931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p>
    <w:p w14:paraId="5880D89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2809D2C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2830EA4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0E0D8E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3FC8FF0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36A444B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p>
    <w:p w14:paraId="2017D4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BA269E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4BE88271">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4C8B88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6" w:name="_Toc13149_WPSOffice_Level1"/>
      <w:r>
        <w:rPr>
          <w:rFonts w:hint="eastAsia" w:ascii="仿宋_GB2312" w:hAnsi="仿宋_GB2312" w:eastAsia="仿宋_GB2312" w:cs="仿宋_GB2312"/>
          <w:b/>
          <w:color w:val="auto"/>
          <w:sz w:val="28"/>
          <w:szCs w:val="28"/>
          <w:highlight w:val="none"/>
        </w:rPr>
        <w:t>第一条  合同标的</w:t>
      </w:r>
      <w:bookmarkEnd w:id="116"/>
    </w:p>
    <w:p w14:paraId="65C3486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0F311AE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752D94A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附件一：</w:t>
      </w:r>
    </w:p>
    <w:p w14:paraId="0C09B2EF">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6AEAEDB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8"/>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785D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69" w:type="dxa"/>
            <w:vAlign w:val="center"/>
          </w:tcPr>
          <w:p w14:paraId="2A0E475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151F59C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09ACB16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BC21A4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67232C5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01471AB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496B2CA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0C17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236C1D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1F39D6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6F27A605">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724BB3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60E230EC">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6537B363">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14A76CC1">
            <w:pPr>
              <w:keepNext w:val="0"/>
              <w:keepLines w:val="0"/>
              <w:suppressLineNumbers w:val="0"/>
              <w:bidi w:val="0"/>
              <w:spacing w:before="0" w:beforeAutospacing="0" w:after="0" w:afterAutospacing="0"/>
              <w:ind w:right="0"/>
              <w:rPr>
                <w:rFonts w:hint="eastAsia"/>
                <w:color w:val="auto"/>
                <w:highlight w:val="none"/>
              </w:rPr>
            </w:pPr>
          </w:p>
        </w:tc>
      </w:tr>
      <w:tr w14:paraId="34B2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A9B57E6">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4DD21E4">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088DCE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27F0B686">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8F4B5E0">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5DD89A1A">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5B41999A">
            <w:pPr>
              <w:keepNext w:val="0"/>
              <w:keepLines w:val="0"/>
              <w:suppressLineNumbers w:val="0"/>
              <w:bidi w:val="0"/>
              <w:spacing w:before="0" w:beforeAutospacing="0" w:after="0" w:afterAutospacing="0"/>
              <w:ind w:right="0"/>
              <w:rPr>
                <w:rFonts w:hint="eastAsia"/>
                <w:color w:val="auto"/>
                <w:highlight w:val="none"/>
              </w:rPr>
            </w:pPr>
          </w:p>
        </w:tc>
      </w:tr>
      <w:tr w14:paraId="7D5F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2A1EB3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3646E61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A9E9E1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A15254B">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45655FA">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128910BD">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C1E7DE4">
            <w:pPr>
              <w:keepNext w:val="0"/>
              <w:keepLines w:val="0"/>
              <w:suppressLineNumbers w:val="0"/>
              <w:bidi w:val="0"/>
              <w:spacing w:before="0" w:beforeAutospacing="0" w:after="0" w:afterAutospacing="0"/>
              <w:ind w:right="0"/>
              <w:rPr>
                <w:rFonts w:hint="eastAsia"/>
                <w:color w:val="auto"/>
                <w:highlight w:val="none"/>
              </w:rPr>
            </w:pPr>
          </w:p>
        </w:tc>
      </w:tr>
      <w:tr w14:paraId="14E6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E4ADDFA">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20089B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A54983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72CB8A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4B6753C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F03C22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4B7AB04">
            <w:pPr>
              <w:keepNext w:val="0"/>
              <w:keepLines w:val="0"/>
              <w:suppressLineNumbers w:val="0"/>
              <w:bidi w:val="0"/>
              <w:spacing w:before="0" w:beforeAutospacing="0" w:after="0" w:afterAutospacing="0"/>
              <w:ind w:right="0"/>
              <w:rPr>
                <w:rFonts w:hint="eastAsia"/>
                <w:color w:val="auto"/>
                <w:highlight w:val="none"/>
              </w:rPr>
            </w:pPr>
          </w:p>
        </w:tc>
      </w:tr>
      <w:tr w14:paraId="5B2D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8341EA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A3FB16F">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08CEF0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10C44DF">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B3165A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6946835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8EA8459">
            <w:pPr>
              <w:keepNext w:val="0"/>
              <w:keepLines w:val="0"/>
              <w:suppressLineNumbers w:val="0"/>
              <w:bidi w:val="0"/>
              <w:spacing w:before="0" w:beforeAutospacing="0" w:after="0" w:afterAutospacing="0"/>
              <w:ind w:right="0"/>
              <w:rPr>
                <w:rFonts w:hint="eastAsia"/>
                <w:color w:val="auto"/>
                <w:highlight w:val="none"/>
              </w:rPr>
            </w:pPr>
          </w:p>
        </w:tc>
      </w:tr>
    </w:tbl>
    <w:p w14:paraId="0DDDA984">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3BDDEF55">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022D6F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68A2F84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乙方承诺及时在平台填报订单和发票相关信息，不影响甲方平台结算率。</w:t>
      </w:r>
      <w:r>
        <w:rPr>
          <w:rFonts w:hint="eastAsia" w:ascii="仿宋_GB2312" w:hAnsi="仿宋_GB2312" w:eastAsia="仿宋_GB2312" w:cs="仿宋_GB2312"/>
          <w:color w:val="auto"/>
          <w:sz w:val="28"/>
          <w:szCs w:val="28"/>
          <w:highlight w:val="none"/>
          <w:u w:val="single"/>
          <w:lang w:val="en-US" w:eastAsia="zh-CN"/>
        </w:rPr>
        <w:t xml:space="preserve">                                                                                                                  </w:t>
      </w:r>
    </w:p>
    <w:p w14:paraId="5A5D0F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7" w:name="_Toc663_WPSOffice_Level1"/>
      <w:r>
        <w:rPr>
          <w:rFonts w:hint="eastAsia" w:ascii="仿宋_GB2312" w:hAnsi="仿宋_GB2312" w:eastAsia="仿宋_GB2312" w:cs="仿宋_GB2312"/>
          <w:b/>
          <w:color w:val="auto"/>
          <w:sz w:val="28"/>
          <w:szCs w:val="28"/>
          <w:highlight w:val="none"/>
        </w:rPr>
        <w:t>第二条  合同价款</w:t>
      </w:r>
      <w:bookmarkEnd w:id="117"/>
    </w:p>
    <w:p w14:paraId="2AA3628C">
      <w:pPr>
        <w:pStyle w:val="7"/>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2872C5C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674E54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000782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309A8A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07FE344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1E3C3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41ED817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649B37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5AF47A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7F15EB8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74706159">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55EDE355">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2" w:firstLineChars="200"/>
        <w:textAlignment w:val="auto"/>
      </w:pPr>
      <w:r>
        <w:rPr>
          <w:rFonts w:hint="eastAsia" w:ascii="仿宋_GB2312" w:hAnsi="仿宋_GB2312" w:eastAsia="仿宋_GB2312" w:cs="仿宋_GB2312"/>
          <w:b/>
          <w:bCs/>
          <w:color w:val="auto"/>
          <w:sz w:val="28"/>
          <w:szCs w:val="28"/>
          <w:highlight w:val="none"/>
          <w:u w:val="single"/>
          <w:lang w:val="en-US" w:eastAsia="zh-CN"/>
        </w:rPr>
        <w:t>备注：如乙方</w:t>
      </w:r>
      <w:r>
        <w:rPr>
          <w:rFonts w:hint="eastAsia" w:ascii="仿宋_GB2312" w:hAnsi="仿宋_GB2312" w:eastAsia="仿宋_GB2312" w:cs="仿宋_GB2312"/>
          <w:b/>
          <w:bCs/>
          <w:color w:val="auto"/>
          <w:sz w:val="28"/>
          <w:szCs w:val="28"/>
          <w:highlight w:val="none"/>
          <w:u w:val="single"/>
        </w:rPr>
        <w:t>不及时在平台回填</w:t>
      </w:r>
      <w:r>
        <w:rPr>
          <w:rFonts w:hint="eastAsia" w:ascii="仿宋_GB2312" w:hAnsi="仿宋_GB2312" w:eastAsia="仿宋_GB2312" w:cs="仿宋_GB2312"/>
          <w:b/>
          <w:bCs/>
          <w:color w:val="auto"/>
          <w:sz w:val="28"/>
          <w:szCs w:val="28"/>
          <w:highlight w:val="none"/>
          <w:u w:val="single"/>
          <w:lang w:val="en-US" w:eastAsia="zh-CN"/>
        </w:rPr>
        <w:t>订单和发票等相关</w:t>
      </w:r>
      <w:r>
        <w:rPr>
          <w:rFonts w:hint="eastAsia" w:ascii="仿宋_GB2312" w:hAnsi="仿宋_GB2312" w:eastAsia="仿宋_GB2312" w:cs="仿宋_GB2312"/>
          <w:b/>
          <w:bCs/>
          <w:color w:val="auto"/>
          <w:sz w:val="28"/>
          <w:szCs w:val="28"/>
          <w:highlight w:val="none"/>
          <w:u w:val="single"/>
        </w:rPr>
        <w:t>信息或填错后不及时修改</w:t>
      </w:r>
      <w:r>
        <w:rPr>
          <w:rFonts w:hint="eastAsia" w:ascii="仿宋_GB2312" w:hAnsi="仿宋_GB2312" w:eastAsia="仿宋_GB2312" w:cs="仿宋_GB2312"/>
          <w:b/>
          <w:bCs/>
          <w:color w:val="auto"/>
          <w:sz w:val="28"/>
          <w:szCs w:val="28"/>
          <w:highlight w:val="none"/>
          <w:u w:val="single"/>
          <w:lang w:eastAsia="zh-CN"/>
        </w:rPr>
        <w:t>，</w:t>
      </w:r>
      <w:r>
        <w:rPr>
          <w:rFonts w:hint="eastAsia" w:ascii="仿宋_GB2312" w:hAnsi="仿宋_GB2312" w:eastAsia="仿宋_GB2312" w:cs="仿宋_GB2312"/>
          <w:b/>
          <w:bCs/>
          <w:color w:val="auto"/>
          <w:sz w:val="28"/>
          <w:szCs w:val="28"/>
          <w:highlight w:val="none"/>
          <w:u w:val="single"/>
          <w:lang w:val="en-US" w:eastAsia="zh-CN"/>
        </w:rPr>
        <w:t>影响甲方平台结算率</w:t>
      </w:r>
      <w:r>
        <w:rPr>
          <w:rFonts w:hint="eastAsia" w:ascii="仿宋_GB2312" w:hAnsi="仿宋_GB2312" w:eastAsia="仿宋_GB2312" w:cs="仿宋_GB2312"/>
          <w:b/>
          <w:bCs/>
          <w:color w:val="auto"/>
          <w:sz w:val="28"/>
          <w:szCs w:val="28"/>
          <w:highlight w:val="none"/>
          <w:u w:val="single"/>
        </w:rPr>
        <w:t>，逾期1天推后一个月支付货款，逾期2天推后二个月支付货款，以此类推。</w:t>
      </w:r>
      <w:r>
        <w:rPr>
          <w:rFonts w:hint="eastAsia" w:ascii="仿宋_GB2312" w:hAnsi="仿宋_GB2312" w:eastAsia="仿宋_GB2312" w:cs="仿宋_GB2312"/>
          <w:color w:val="auto"/>
          <w:sz w:val="28"/>
          <w:szCs w:val="28"/>
          <w:highlight w:val="none"/>
          <w:u w:val="single"/>
        </w:rPr>
        <w:t xml:space="preserve">                                </w:t>
      </w:r>
    </w:p>
    <w:p w14:paraId="262D4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75B2407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F6716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064176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60E0EB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5F716A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551CB6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7DD05A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CCD7C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287485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4C8AB53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019DA6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24C282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667F06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%)，具体与医院签合同时按合同条款执行</w:t>
      </w:r>
      <w:r>
        <w:rPr>
          <w:rFonts w:hint="eastAsia" w:ascii="仿宋_GB2312" w:hAnsi="仿宋_GB2312" w:eastAsia="仿宋_GB2312" w:cs="仿宋_GB2312"/>
          <w:color w:val="auto"/>
          <w:sz w:val="28"/>
          <w:szCs w:val="28"/>
          <w:highlight w:val="none"/>
          <w:lang w:eastAsia="zh-CN"/>
        </w:rPr>
        <w:t>。</w:t>
      </w:r>
    </w:p>
    <w:p w14:paraId="652DF0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4D076F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670BA46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1"/>
        <w:rPr>
          <w:rFonts w:ascii="仿宋_GB2312" w:hAnsi="仿宋_GB2312" w:eastAsia="仿宋_GB2312" w:cs="仿宋_GB2312"/>
          <w:b/>
          <w:color w:val="auto"/>
          <w:sz w:val="28"/>
          <w:szCs w:val="28"/>
          <w:highlight w:val="none"/>
        </w:rPr>
      </w:pPr>
      <w:bookmarkStart w:id="118" w:name="_Toc13895"/>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bookmarkEnd w:id="118"/>
    </w:p>
    <w:p w14:paraId="4BA32F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63748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1EC5A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358CA4E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6A7FEFD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5ECFCE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16E0ACE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）所提供的产品经食品药品监督管理局严格审核，并取得医疗器械注册证或备案证，获准进入市场，货质来源符合国家规定，并提供产品相关的资格证明文件。</w:t>
      </w:r>
    </w:p>
    <w:p w14:paraId="3BC17F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649B6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24B776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682948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6746EA2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7C5EAD5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3E3E9A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1FBC582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200DD9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64EBF0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0A4F7DD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1.乙方配送的产品必须是产品，严禁配送目录外规格型号产品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1C9F9A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31B2DF7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676A4D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p>
    <w:p w14:paraId="77B7A30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p>
    <w:p w14:paraId="4E1BA2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6964A8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412576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4D3976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5EE373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64AB74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0FA9C1F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1176B6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59FE8C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303F49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3BCB36B">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1C3FD85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E8336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none"/>
        </w:rPr>
        <w:t>后</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65B7BF30">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FCA7A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64722B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185F98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5182161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721E43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4E801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37BB62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1F8DD3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bookmarkStart w:id="119" w:name="_Toc2412_WPSOffice_Level1"/>
      <w:r>
        <w:rPr>
          <w:rFonts w:hint="eastAsia" w:ascii="仿宋_GB2312" w:hAnsi="仿宋_GB2312" w:eastAsia="仿宋_GB2312" w:cs="仿宋_GB2312"/>
          <w:b/>
          <w:color w:val="auto"/>
          <w:sz w:val="28"/>
          <w:szCs w:val="28"/>
          <w:highlight w:val="none"/>
        </w:rPr>
        <w:t>第九条 质量保证及售后服务</w:t>
      </w:r>
      <w:bookmarkEnd w:id="119"/>
    </w:p>
    <w:p w14:paraId="47716D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506360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758E00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18CB5E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0EB14C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6B61BE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297C6130">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14BC30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1A34DD4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DF46B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15F1F87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6AB145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A183F7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745255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314CE72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1BEEDD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49C726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120"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120"/>
    </w:p>
    <w:p w14:paraId="3E119EC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090D37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4A4C45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0292F7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B465AA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2F4475C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0BBDD1C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4BD181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47396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06DCFE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3AD90E5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0D56BF0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2D5306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0A82D0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2FE15A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F4416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2E80A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172A3C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49C408B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B2A1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36CCD8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21"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121"/>
    </w:p>
    <w:p w14:paraId="632FCE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33551E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p>
    <w:p w14:paraId="2078AC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p>
    <w:p w14:paraId="1FACA2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5234D4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0D338D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057FB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784FD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122"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122"/>
    </w:p>
    <w:p w14:paraId="33D88F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8428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4905E7F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C908D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123" w:name="_Toc12695_WPSOffice_Level1"/>
      <w:r>
        <w:rPr>
          <w:rFonts w:hint="eastAsia" w:ascii="仿宋_GB2312" w:hAnsi="仿宋_GB2312" w:eastAsia="仿宋_GB2312" w:cs="仿宋_GB2312"/>
          <w:b/>
          <w:color w:val="auto"/>
          <w:sz w:val="28"/>
          <w:szCs w:val="28"/>
          <w:highlight w:val="none"/>
        </w:rPr>
        <w:t>附则</w:t>
      </w:r>
      <w:bookmarkEnd w:id="123"/>
    </w:p>
    <w:p w14:paraId="49ABBB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1B684E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3C00BE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4CFEB90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bookmarkStart w:id="124"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03E2FA2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4C9B90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694589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29B782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1BFE050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03D3389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766D145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60BF4D41">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29450CA">
      <w:pPr>
        <w:keepNext/>
        <w:keepLines/>
        <w:widowControl w:val="0"/>
        <w:spacing w:line="576" w:lineRule="auto"/>
        <w:jc w:val="both"/>
        <w:outlineLvl w:val="9"/>
        <w:rPr>
          <w:rFonts w:hint="eastAsia" w:ascii="仿宋_GB2312" w:hAnsi="仿宋_GB2312" w:eastAsia="仿宋_GB2312" w:cs="仿宋_GB2312"/>
          <w:b/>
          <w:color w:val="auto"/>
          <w:kern w:val="44"/>
          <w:sz w:val="28"/>
          <w:szCs w:val="28"/>
          <w:highlight w:val="none"/>
          <w:lang w:val="en-US" w:eastAsia="zh-CN" w:bidi="ar-SA"/>
        </w:rPr>
      </w:pPr>
    </w:p>
    <w:p w14:paraId="1CC65C5F">
      <w:pPr>
        <w:rPr>
          <w:rFonts w:hint="eastAsia"/>
          <w:highlight w:val="none"/>
        </w:rPr>
      </w:pPr>
    </w:p>
    <w:p w14:paraId="23505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bookmarkEnd w:id="124"/>
      <w:bookmarkStart w:id="125" w:name="_Toc26357_WPSOffice_Level1"/>
    </w:p>
    <w:p w14:paraId="262854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125"/>
    </w:p>
    <w:p w14:paraId="395234FD">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126" w:name="_Toc28445_WPSOffice_Level1"/>
      <w:r>
        <w:rPr>
          <w:rFonts w:hint="eastAsia" w:ascii="仿宋_GB2312" w:hAnsi="仿宋_GB2312" w:eastAsia="仿宋_GB2312" w:cs="仿宋_GB2312"/>
          <w:color w:val="auto"/>
          <w:sz w:val="28"/>
          <w:szCs w:val="28"/>
          <w:highlight w:val="none"/>
        </w:rPr>
        <w:t>附件三：廉洁从业承诺书（员工承诺</w:t>
      </w:r>
      <w:bookmarkEnd w:id="126"/>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674972AE">
      <w:pPr>
        <w:pStyle w:val="31"/>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057CF1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3AC29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3AB85C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34E9B64B">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03FC3E6F">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05EBEAD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开户银行:</w:t>
      </w:r>
    </w:p>
    <w:p w14:paraId="08C5137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帐号：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帐号：</w:t>
      </w:r>
    </w:p>
    <w:p w14:paraId="7D6D14F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2D51ACFE">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6220232D">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52289DD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0F9C621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0D5D4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8A4237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0093AFA0">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BF450C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0AE6E60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5E05CBE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0F695D">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5160E6F8">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1C39E99">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C5FA0E2">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681FCABE">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052D69FB">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06806A2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2D7FAE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013EAC6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投标法》、《中华人民共和国政府采购法》等法律法规，决不发生以下行为：</w:t>
      </w:r>
    </w:p>
    <w:p w14:paraId="3AE389B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1.以他人名义投标，允许其他单位或个人使用本单位资质投标；</w:t>
      </w:r>
    </w:p>
    <w:p w14:paraId="1FCF3DF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2.提供虚假材料，或以其他方式弄虚作假骗取中标；</w:t>
      </w:r>
    </w:p>
    <w:p w14:paraId="2B87BDE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人或者其他投标人相互串通投标；</w:t>
      </w:r>
    </w:p>
    <w:p w14:paraId="13775BC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4.中标后将项目转包，或违法分包；</w:t>
      </w:r>
    </w:p>
    <w:p w14:paraId="2D8C6D9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5.中标后与</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人签订背离投标文件及合同实质性内容的私下协议；</w:t>
      </w:r>
    </w:p>
    <w:p w14:paraId="70D2C4C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投标、政府采购等法律法规的行为。</w:t>
      </w:r>
    </w:p>
    <w:p w14:paraId="74B2159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FE55D2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37F7D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5832632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76682E88">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55152C10">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A56344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201C594B">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5516112D">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D8946A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2C20EE9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266298F8">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61C4AA6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3472C59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D3543B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02BABC0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621E2E23">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476D0DBD">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568AAAB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BD038F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3A5CA8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09710626">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49C43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6C7D2C4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504DF3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763F71A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5F9F2D6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3B5B551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027A8E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62BA99E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1AC3F82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6979E1B2">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FF79A7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0DB6C6A0">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highlight w:val="none"/>
        </w:rPr>
      </w:pPr>
      <w:r>
        <w:rPr>
          <w:rFonts w:hint="eastAsia" w:ascii="仿宋_GB2312" w:hAnsi="仿宋_GB2312" w:eastAsia="仿宋_GB2312" w:cs="仿宋_GB2312"/>
          <w:color w:val="auto"/>
          <w:sz w:val="28"/>
          <w:szCs w:val="28"/>
          <w:highlight w:val="none"/>
        </w:rPr>
        <w:t>承诺日期：</w:t>
      </w:r>
      <w:bookmarkEnd w:id="111"/>
      <w:bookmarkEnd w:id="112"/>
      <w:bookmarkEnd w:id="113"/>
      <w:bookmarkEnd w:id="114"/>
      <w:bookmarkEnd w:id="115"/>
    </w:p>
    <w:p w14:paraId="753611B7">
      <w:pPr>
        <w:rPr>
          <w:rFonts w:ascii="宋体" w:hAnsi="宋体" w:cs="宋体"/>
          <w:color w:val="000000" w:themeColor="text1"/>
          <w:szCs w:val="21"/>
          <w14:textFill>
            <w14:solidFill>
              <w14:schemeClr w14:val="tx1"/>
            </w14:solidFill>
          </w14:textFill>
        </w:rPr>
      </w:pPr>
    </w:p>
    <w:p w14:paraId="7ECA77B4">
      <w:pPr>
        <w:spacing w:after="60"/>
        <w:jc w:val="center"/>
        <w:outlineLvl w:val="0"/>
        <w:rPr>
          <w:rFonts w:hint="default" w:asciiTheme="minorHAnsi" w:hAnsiTheme="minorHAnsi" w:eastAsiaTheme="minorEastAsia" w:cstheme="minorBidi"/>
          <w:b w:val="0"/>
          <w:bCs w:val="0"/>
          <w:kern w:val="2"/>
          <w:sz w:val="32"/>
          <w:szCs w:val="32"/>
          <w:lang w:val="en-US" w:eastAsia="zh-CN" w:bidi="ar-SA"/>
        </w:rPr>
      </w:pPr>
      <w:r>
        <w:rPr>
          <w:rFonts w:hint="eastAsia" w:ascii="宋体" w:hAnsi="宋体" w:cs="宋体"/>
          <w:b w:val="0"/>
          <w:bCs w:val="0"/>
          <w:color w:val="000000" w:themeColor="text1"/>
          <w:sz w:val="32"/>
          <w:szCs w:val="32"/>
          <w14:textFill>
            <w14:solidFill>
              <w14:schemeClr w14:val="tx1"/>
            </w14:solidFill>
          </w14:textFill>
        </w:rPr>
        <w:t xml:space="preserve">     </w:t>
      </w:r>
      <w:bookmarkStart w:id="127" w:name="_Toc7020"/>
      <w:r>
        <w:rPr>
          <w:rFonts w:hint="eastAsia" w:ascii="宋体" w:hAnsi="宋体" w:cs="宋体"/>
          <w:b w:val="0"/>
          <w:bCs w:val="0"/>
          <w:color w:val="000000" w:themeColor="text1"/>
          <w:sz w:val="32"/>
          <w:szCs w:val="32"/>
          <w:lang w:val="en-US" w:eastAsia="zh-CN"/>
          <w14:textFill>
            <w14:solidFill>
              <w14:schemeClr w14:val="tx1"/>
            </w14:solidFill>
          </w14:textFill>
        </w:rPr>
        <w:t xml:space="preserve">第六章 </w:t>
      </w:r>
      <w:r>
        <w:rPr>
          <w:rFonts w:hint="eastAsia" w:cstheme="minorBidi"/>
          <w:b w:val="0"/>
          <w:bCs w:val="0"/>
          <w:kern w:val="2"/>
          <w:sz w:val="32"/>
          <w:szCs w:val="32"/>
          <w:lang w:val="en-US" w:eastAsia="zh-CN" w:bidi="ar-SA"/>
        </w:rPr>
        <w:t>综合评分表</w:t>
      </w:r>
      <w:bookmarkEnd w:id="127"/>
    </w:p>
    <w:tbl>
      <w:tblPr>
        <w:tblStyle w:val="17"/>
        <w:tblW w:w="98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714"/>
        <w:gridCol w:w="7109"/>
        <w:gridCol w:w="802"/>
      </w:tblGrid>
      <w:tr w14:paraId="15114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395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评分项目</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2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6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评分因素</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A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r>
      <w:tr w14:paraId="5DA2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1200" w:type="dxa"/>
            <w:vMerge w:val="restart"/>
            <w:tcBorders>
              <w:top w:val="single" w:color="000000" w:sz="4" w:space="0"/>
              <w:left w:val="single" w:color="000000" w:sz="4" w:space="0"/>
              <w:right w:val="single" w:color="000000" w:sz="4" w:space="0"/>
            </w:tcBorders>
            <w:shd w:val="clear" w:color="auto" w:fill="auto"/>
            <w:vAlign w:val="center"/>
          </w:tcPr>
          <w:p w14:paraId="3DCA724F">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C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2D66">
            <w:pPr>
              <w:numPr>
                <w:ilvl w:val="0"/>
                <w:numId w:val="0"/>
              </w:numPr>
              <w:wordWrap w:val="0"/>
              <w:snapToGrid w:val="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napToGrid w:val="0"/>
                <w:kern w:val="0"/>
                <w:sz w:val="21"/>
                <w:szCs w:val="21"/>
                <w:highlight w:val="none"/>
                <w:lang w:val="en-US" w:eastAsia="zh-CN" w:bidi="ar-SA"/>
              </w:rPr>
              <w:t>配送方案</w:t>
            </w:r>
            <w:r>
              <w:rPr>
                <w:rFonts w:hint="eastAsia" w:ascii="宋体" w:hAnsi="宋体" w:eastAsia="宋体" w:cs="宋体"/>
                <w:i w:val="0"/>
                <w:iCs w:val="0"/>
                <w:color w:val="000000"/>
                <w:kern w:val="0"/>
                <w:sz w:val="22"/>
                <w:szCs w:val="22"/>
                <w:u w:val="none"/>
                <w:lang w:val="en-US" w:eastAsia="zh-CN" w:bidi="ar"/>
              </w:rPr>
              <w:t xml:space="preserve">                                                  </w:t>
            </w:r>
          </w:p>
          <w:p w14:paraId="5E59CE18">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w:t>
            </w:r>
            <w:r>
              <w:rPr>
                <w:rFonts w:hint="eastAsia" w:ascii="宋体" w:hAnsi="宋体" w:cs="宋体"/>
                <w:b/>
                <w:bCs/>
                <w:sz w:val="21"/>
                <w:szCs w:val="21"/>
                <w:highlight w:val="none"/>
                <w:lang w:val="en-US" w:eastAsia="zh-CN"/>
              </w:rPr>
              <w:t>要求</w:t>
            </w:r>
            <w:r>
              <w:rPr>
                <w:rFonts w:hint="eastAsia" w:ascii="宋体" w:hAnsi="宋体" w:eastAsia="宋体" w:cs="宋体"/>
                <w:b/>
                <w:bCs/>
                <w:sz w:val="21"/>
                <w:szCs w:val="21"/>
                <w:highlight w:val="none"/>
              </w:rPr>
              <w:t>：</w:t>
            </w:r>
          </w:p>
          <w:p w14:paraId="2F7D26C9">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评审委员会根据投标文件配送方案进行评审：</w:t>
            </w:r>
          </w:p>
          <w:p w14:paraId="045328C6">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配送时效保障方案</w:t>
            </w:r>
            <w:r>
              <w:rPr>
                <w:rFonts w:hint="eastAsia" w:asciiTheme="minorEastAsia" w:hAnsiTheme="minorEastAsia" w:eastAsiaTheme="minorEastAsia" w:cstheme="minorEastAsia"/>
                <w:color w:val="auto"/>
                <w:kern w:val="0"/>
                <w:szCs w:val="21"/>
                <w:highlight w:val="none"/>
                <w:lang w:eastAsia="zh-CN"/>
              </w:rPr>
              <w:t>；</w:t>
            </w:r>
          </w:p>
          <w:p w14:paraId="64F7B93B">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eastAsia="zh-CN"/>
              </w:rPr>
              <w:t>；</w:t>
            </w:r>
          </w:p>
          <w:p w14:paraId="4CEE106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配送</w:t>
            </w:r>
            <w:r>
              <w:rPr>
                <w:rFonts w:hint="eastAsia" w:asciiTheme="minorEastAsia" w:hAnsiTheme="minorEastAsia" w:eastAsiaTheme="minorEastAsia" w:cstheme="minorEastAsia"/>
                <w:color w:val="auto"/>
                <w:kern w:val="0"/>
                <w:szCs w:val="21"/>
                <w:highlight w:val="none"/>
              </w:rPr>
              <w:t>人员</w:t>
            </w:r>
            <w:r>
              <w:rPr>
                <w:rFonts w:hint="eastAsia" w:asciiTheme="minorEastAsia" w:hAnsiTheme="minorEastAsia" w:eastAsiaTheme="minorEastAsia" w:cstheme="minorEastAsia"/>
                <w:color w:val="auto"/>
                <w:kern w:val="0"/>
                <w:szCs w:val="21"/>
                <w:highlight w:val="none"/>
                <w:lang w:val="en-US" w:eastAsia="zh-CN"/>
              </w:rPr>
              <w:t>管理制度</w:t>
            </w:r>
            <w:r>
              <w:rPr>
                <w:rFonts w:hint="eastAsia" w:asciiTheme="minorEastAsia" w:hAnsiTheme="minorEastAsia" w:eastAsiaTheme="minorEastAsia" w:cstheme="minorEastAsia"/>
                <w:color w:val="auto"/>
                <w:kern w:val="0"/>
                <w:szCs w:val="21"/>
                <w:highlight w:val="none"/>
                <w:lang w:eastAsia="zh-CN"/>
              </w:rPr>
              <w:t>。</w:t>
            </w:r>
          </w:p>
          <w:p w14:paraId="34B2ECA1">
            <w:pPr>
              <w:numPr>
                <w:ilvl w:val="0"/>
                <w:numId w:val="0"/>
              </w:numPr>
              <w:wordWrap w:val="0"/>
              <w:snapToGrid w:val="0"/>
              <w:rPr>
                <w:rFonts w:hint="eastAsia" w:ascii="宋体" w:hAnsi="宋体" w:eastAsia="宋体" w:cs="宋体"/>
                <w:b/>
                <w:bCs/>
                <w:sz w:val="21"/>
                <w:szCs w:val="21"/>
                <w:highlight w:val="none"/>
              </w:rPr>
            </w:pP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二</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评审标准：</w:t>
            </w:r>
          </w:p>
          <w:p w14:paraId="7EE21596">
            <w:pPr>
              <w:pStyle w:val="5"/>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kern w:val="0"/>
                <w:szCs w:val="21"/>
                <w:highlight w:val="none"/>
              </w:rPr>
              <w:t>配送方案</w:t>
            </w:r>
            <w:r>
              <w:rPr>
                <w:rFonts w:hint="eastAsia" w:asciiTheme="minorEastAsia" w:hAnsiTheme="minorEastAsia" w:eastAsiaTheme="minorEastAsia" w:cstheme="minorEastAsia"/>
                <w:color w:val="auto"/>
                <w:highlight w:val="none"/>
                <w:lang w:val="en-US" w:eastAsia="zh-CN"/>
              </w:rPr>
              <w:t>满足</w:t>
            </w:r>
            <w:r>
              <w:rPr>
                <w:rFonts w:hint="eastAsia" w:asciiTheme="minorEastAsia" w:hAnsiTheme="minorEastAsia" w:eastAsiaTheme="minorEastAsia" w:cstheme="minorEastAsia"/>
                <w:color w:val="auto"/>
                <w:highlight w:val="none"/>
              </w:rPr>
              <w:t>以上</w:t>
            </w:r>
            <w:r>
              <w:rPr>
                <w:rFonts w:hint="eastAsia" w:asciiTheme="minorEastAsia" w:hAnsiTheme="minorEastAsia" w:eastAsiaTheme="minorEastAsia" w:cstheme="minorEastAsia"/>
                <w:color w:val="auto"/>
                <w:highlight w:val="none"/>
                <w:lang w:val="en-US" w:eastAsia="zh-CN"/>
              </w:rPr>
              <w:t>一点可得3分</w:t>
            </w:r>
            <w:r>
              <w:rPr>
                <w:rFonts w:hint="eastAsia" w:asciiTheme="minorEastAsia" w:hAnsiTheme="minorEastAsia" w:eastAsiaTheme="minorEastAsia" w:cstheme="minorEastAsia"/>
                <w:color w:val="auto"/>
                <w:highlight w:val="none"/>
              </w:rPr>
              <w:t>，全部满足得</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分，其余情况不得分。</w:t>
            </w:r>
          </w:p>
          <w:p w14:paraId="5AB5F045">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在此基础上，评审委员会进行进一步评审：</w:t>
            </w:r>
          </w:p>
          <w:p w14:paraId="58B7E258">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可实施性强，配送人员管理制度全面，</w:t>
            </w:r>
            <w:r>
              <w:rPr>
                <w:rFonts w:hint="eastAsia" w:asciiTheme="minorEastAsia" w:hAnsiTheme="minorEastAsia" w:eastAsiaTheme="minorEastAsia" w:cstheme="minorEastAsia"/>
                <w:color w:val="auto"/>
                <w:kern w:val="0"/>
                <w:szCs w:val="21"/>
                <w:highlight w:val="none"/>
              </w:rPr>
              <w:t>评价为优</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分；</w:t>
            </w:r>
          </w:p>
          <w:p w14:paraId="1CC0CCCF">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较合理，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可实施性较强，配送人员管理制度较全面，</w:t>
            </w:r>
            <w:r>
              <w:rPr>
                <w:rFonts w:hint="eastAsia" w:asciiTheme="minorEastAsia" w:hAnsiTheme="minorEastAsia" w:eastAsiaTheme="minorEastAsia" w:cstheme="minorEastAsia"/>
                <w:color w:val="auto"/>
                <w:kern w:val="0"/>
                <w:szCs w:val="21"/>
                <w:highlight w:val="none"/>
              </w:rPr>
              <w:t>评价为良</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分；</w:t>
            </w:r>
          </w:p>
          <w:p w14:paraId="40D3D5D2">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基本合理，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可实施性一般，配送人员管理制度基本全面，</w:t>
            </w:r>
            <w:r>
              <w:rPr>
                <w:rFonts w:hint="eastAsia" w:asciiTheme="minorEastAsia" w:hAnsiTheme="minorEastAsia" w:eastAsiaTheme="minorEastAsia" w:cstheme="minorEastAsia"/>
                <w:color w:val="auto"/>
                <w:kern w:val="0"/>
                <w:szCs w:val="21"/>
                <w:highlight w:val="none"/>
              </w:rPr>
              <w:t>评价为中</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加1</w:t>
            </w:r>
            <w:r>
              <w:rPr>
                <w:rFonts w:hint="eastAsia" w:asciiTheme="minorEastAsia" w:hAnsiTheme="minorEastAsia" w:eastAsiaTheme="minorEastAsia" w:cstheme="minorEastAsia"/>
                <w:color w:val="auto"/>
                <w:kern w:val="0"/>
                <w:szCs w:val="21"/>
                <w:highlight w:val="none"/>
              </w:rPr>
              <w:t>分；</w:t>
            </w:r>
          </w:p>
          <w:p w14:paraId="2E50CDD1">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（4）</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不合理，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可实施性不强，配送人员管理制度不全面，</w:t>
            </w:r>
            <w:r>
              <w:rPr>
                <w:rFonts w:hint="eastAsia" w:asciiTheme="minorEastAsia" w:hAnsiTheme="minorEastAsia" w:eastAsiaTheme="minorEastAsia" w:cstheme="minorEastAsia"/>
                <w:color w:val="auto"/>
                <w:kern w:val="0"/>
                <w:szCs w:val="21"/>
                <w:highlight w:val="none"/>
              </w:rPr>
              <w:t>评价为差</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不得</w:t>
            </w:r>
            <w:r>
              <w:rPr>
                <w:rFonts w:hint="eastAsia" w:asciiTheme="minorEastAsia" w:hAnsiTheme="minorEastAsia" w:eastAsiaTheme="minorEastAsia" w:cstheme="minorEastAsia"/>
                <w:color w:val="auto"/>
                <w:kern w:val="0"/>
                <w:szCs w:val="21"/>
                <w:highlight w:val="none"/>
              </w:rPr>
              <w:t>分；</w:t>
            </w:r>
          </w:p>
          <w:p w14:paraId="76AAB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EBB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r>
      <w:tr w14:paraId="1F66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7DBE0">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A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A301">
            <w:pPr>
              <w:numPr>
                <w:ilvl w:val="0"/>
                <w:numId w:val="0"/>
              </w:numPr>
              <w:wordWrap w:val="0"/>
              <w:snapToGrid w:val="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napToGrid w:val="0"/>
                <w:kern w:val="0"/>
                <w:sz w:val="21"/>
                <w:szCs w:val="21"/>
                <w:highlight w:val="none"/>
                <w:lang w:val="en-US" w:eastAsia="zh-CN" w:bidi="ar-SA"/>
              </w:rPr>
              <w:t>售后服务方案</w:t>
            </w:r>
            <w:r>
              <w:rPr>
                <w:rFonts w:hint="eastAsia" w:ascii="宋体" w:hAnsi="宋体" w:eastAsia="宋体" w:cs="宋体"/>
                <w:i w:val="0"/>
                <w:iCs w:val="0"/>
                <w:color w:val="000000"/>
                <w:kern w:val="0"/>
                <w:sz w:val="22"/>
                <w:szCs w:val="22"/>
                <w:u w:val="none"/>
                <w:lang w:val="en-US" w:eastAsia="zh-CN" w:bidi="ar"/>
              </w:rPr>
              <w:t xml:space="preserve">                                              </w:t>
            </w:r>
          </w:p>
          <w:p w14:paraId="530B1856">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w:t>
            </w:r>
            <w:r>
              <w:rPr>
                <w:rFonts w:hint="eastAsia" w:ascii="宋体" w:hAnsi="宋体" w:cs="宋体"/>
                <w:b/>
                <w:bCs/>
                <w:sz w:val="21"/>
                <w:szCs w:val="21"/>
                <w:highlight w:val="none"/>
                <w:lang w:val="en-US" w:eastAsia="zh-CN"/>
              </w:rPr>
              <w:t>要求</w:t>
            </w:r>
            <w:r>
              <w:rPr>
                <w:rFonts w:hint="eastAsia" w:ascii="宋体" w:hAnsi="宋体" w:eastAsia="宋体" w:cs="宋体"/>
                <w:b/>
                <w:bCs/>
                <w:sz w:val="21"/>
                <w:szCs w:val="21"/>
                <w:highlight w:val="none"/>
              </w:rPr>
              <w:t>：</w:t>
            </w:r>
          </w:p>
          <w:p w14:paraId="7CEA8024">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评审委员会根据</w:t>
            </w:r>
            <w:r>
              <w:rPr>
                <w:rFonts w:hint="eastAsia" w:asciiTheme="minorEastAsia" w:hAnsiTheme="minorEastAsia" w:eastAsiaTheme="minorEastAsia" w:cstheme="minorEastAsia"/>
                <w:color w:val="auto"/>
                <w:kern w:val="0"/>
                <w:szCs w:val="21"/>
                <w:highlight w:val="none"/>
                <w:lang w:val="en-US" w:eastAsia="zh-CN"/>
              </w:rPr>
              <w:t>投标人递交的</w:t>
            </w:r>
            <w:r>
              <w:rPr>
                <w:rFonts w:hint="eastAsia" w:asciiTheme="minorEastAsia" w:hAnsiTheme="minorEastAsia" w:eastAsiaTheme="minorEastAsia" w:cstheme="minorEastAsia"/>
                <w:color w:val="auto"/>
                <w:kern w:val="0"/>
                <w:szCs w:val="21"/>
                <w:highlight w:val="none"/>
              </w:rPr>
              <w:t>投标文件售后服务方案进行评审</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内容包含但不限于</w:t>
            </w:r>
            <w:r>
              <w:rPr>
                <w:rFonts w:hint="eastAsia" w:asciiTheme="minorEastAsia" w:hAnsiTheme="minorEastAsia" w:eastAsiaTheme="minorEastAsia" w:cstheme="minorEastAsia"/>
                <w:color w:val="auto"/>
                <w:kern w:val="0"/>
                <w:szCs w:val="21"/>
                <w:highlight w:val="none"/>
              </w:rPr>
              <w:t>：</w:t>
            </w:r>
          </w:p>
          <w:p w14:paraId="33DC311C">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eastAsia="zh-CN"/>
              </w:rPr>
              <w:t>；</w:t>
            </w:r>
          </w:p>
          <w:p w14:paraId="761C1F5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应急供货和</w:t>
            </w:r>
            <w:r>
              <w:rPr>
                <w:rFonts w:hint="eastAsia" w:asciiTheme="minorEastAsia" w:hAnsiTheme="minorEastAsia" w:eastAsiaTheme="minorEastAsia" w:cstheme="minorEastAsia"/>
                <w:color w:val="auto"/>
                <w:kern w:val="0"/>
                <w:szCs w:val="21"/>
                <w:highlight w:val="none"/>
                <w:lang w:val="en-US" w:eastAsia="zh-CN"/>
              </w:rPr>
              <w:t>产品</w:t>
            </w:r>
            <w:r>
              <w:rPr>
                <w:rFonts w:hint="eastAsia" w:asciiTheme="minorEastAsia" w:hAnsiTheme="minorEastAsia" w:eastAsiaTheme="minorEastAsia" w:cstheme="minorEastAsia"/>
                <w:color w:val="auto"/>
                <w:kern w:val="0"/>
                <w:szCs w:val="21"/>
                <w:highlight w:val="none"/>
              </w:rPr>
              <w:t>退货方案</w:t>
            </w:r>
            <w:r>
              <w:rPr>
                <w:rFonts w:hint="eastAsia" w:asciiTheme="minorEastAsia" w:hAnsiTheme="minorEastAsia" w:eastAsiaTheme="minorEastAsia" w:cstheme="minorEastAsia"/>
                <w:color w:val="auto"/>
                <w:kern w:val="0"/>
                <w:szCs w:val="21"/>
                <w:highlight w:val="none"/>
                <w:lang w:eastAsia="zh-CN"/>
              </w:rPr>
              <w:t>；</w:t>
            </w:r>
          </w:p>
          <w:p w14:paraId="2D6CFD4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基于</w:t>
            </w:r>
            <w:r>
              <w:rPr>
                <w:rFonts w:hint="eastAsia" w:asciiTheme="minorEastAsia" w:hAnsiTheme="minorEastAsia" w:cstheme="minorEastAsia"/>
                <w:color w:val="auto"/>
                <w:kern w:val="0"/>
                <w:szCs w:val="21"/>
                <w:highlight w:val="none"/>
                <w:lang w:val="en-US" w:eastAsia="zh-CN"/>
              </w:rPr>
              <w:t>征集</w:t>
            </w:r>
            <w:r>
              <w:rPr>
                <w:rFonts w:hint="eastAsia" w:asciiTheme="minorEastAsia" w:hAnsiTheme="minorEastAsia" w:eastAsiaTheme="minorEastAsia" w:cstheme="minorEastAsia"/>
                <w:color w:val="auto"/>
                <w:kern w:val="0"/>
                <w:szCs w:val="21"/>
                <w:highlight w:val="none"/>
                <w:lang w:val="en-US" w:eastAsia="zh-CN"/>
              </w:rPr>
              <w:t>文件中的售后服务要求进行合理预判，并承诺</w:t>
            </w:r>
            <w:r>
              <w:rPr>
                <w:rFonts w:hint="eastAsia" w:asciiTheme="minorEastAsia" w:hAnsiTheme="minorEastAsia" w:eastAsiaTheme="minorEastAsia" w:cstheme="minorEastAsia"/>
                <w:color w:val="auto"/>
                <w:kern w:val="0"/>
                <w:szCs w:val="21"/>
                <w:highlight w:val="none"/>
                <w:lang w:eastAsia="zh-CN"/>
              </w:rPr>
              <w:t>）。</w:t>
            </w:r>
          </w:p>
          <w:p w14:paraId="4F7C0F29">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cs="宋体"/>
                <w:b/>
                <w:bCs/>
                <w:sz w:val="21"/>
                <w:szCs w:val="21"/>
                <w:highlight w:val="none"/>
                <w:lang w:val="en-US" w:eastAsia="zh-CN"/>
              </w:rPr>
              <w:t>二</w:t>
            </w:r>
            <w:r>
              <w:rPr>
                <w:rFonts w:hint="eastAsia"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rPr>
              <w:t>评审标准：</w:t>
            </w:r>
          </w:p>
          <w:p w14:paraId="18FF519B">
            <w:pPr>
              <w:pStyle w:val="5"/>
              <w:ind w:firstLine="0" w:firstLineChars="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kern w:val="0"/>
                <w:szCs w:val="21"/>
                <w:highlight w:val="none"/>
              </w:rPr>
              <w:t>售后服务方案</w:t>
            </w:r>
            <w:r>
              <w:rPr>
                <w:rFonts w:hint="eastAsia" w:asciiTheme="minorEastAsia" w:hAnsiTheme="minorEastAsia" w:eastAsiaTheme="minorEastAsia" w:cstheme="minorEastAsia"/>
                <w:color w:val="auto"/>
                <w:highlight w:val="none"/>
                <w:lang w:val="en-US" w:eastAsia="zh-CN"/>
              </w:rPr>
              <w:t>满足</w:t>
            </w:r>
            <w:r>
              <w:rPr>
                <w:rFonts w:hint="eastAsia" w:asciiTheme="minorEastAsia" w:hAnsiTheme="minorEastAsia" w:eastAsiaTheme="minorEastAsia" w:cstheme="minorEastAsia"/>
                <w:color w:val="auto"/>
                <w:highlight w:val="none"/>
              </w:rPr>
              <w:t>以上</w:t>
            </w:r>
            <w:r>
              <w:rPr>
                <w:rFonts w:hint="eastAsia" w:asciiTheme="minorEastAsia" w:hAnsiTheme="minorEastAsia" w:eastAsiaTheme="minorEastAsia" w:cstheme="minorEastAsia"/>
                <w:color w:val="auto"/>
                <w:highlight w:val="none"/>
                <w:lang w:val="en-US" w:eastAsia="zh-CN"/>
              </w:rPr>
              <w:t>一点可得3分</w:t>
            </w:r>
            <w:r>
              <w:rPr>
                <w:rFonts w:hint="eastAsia" w:asciiTheme="minorEastAsia" w:hAnsiTheme="minorEastAsia" w:eastAsiaTheme="minorEastAsia" w:cstheme="minorEastAsia"/>
                <w:color w:val="auto"/>
                <w:highlight w:val="none"/>
              </w:rPr>
              <w:t>，全部满足得</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分，其余情况不得分。</w:t>
            </w:r>
          </w:p>
          <w:p w14:paraId="17241857">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在此基础上，评审委员会进行进一步评审：</w:t>
            </w:r>
          </w:p>
          <w:p w14:paraId="6CA0F33D">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（1）售后服务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可实施性强，</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全面，充分考虑突发情况的，</w:t>
            </w:r>
            <w:r>
              <w:rPr>
                <w:rFonts w:hint="eastAsia" w:asciiTheme="minorEastAsia" w:hAnsiTheme="minorEastAsia" w:eastAsiaTheme="minorEastAsia" w:cstheme="minorEastAsia"/>
                <w:color w:val="auto"/>
                <w:kern w:val="0"/>
                <w:szCs w:val="21"/>
                <w:highlight w:val="none"/>
              </w:rPr>
              <w:t>评价为优</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分；</w:t>
            </w:r>
          </w:p>
          <w:p w14:paraId="64360891">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较合理，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可实施性较强，</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较全面，较充分考虑突发情况的，</w:t>
            </w:r>
            <w:r>
              <w:rPr>
                <w:rFonts w:hint="eastAsia" w:asciiTheme="minorEastAsia" w:hAnsiTheme="minorEastAsia" w:eastAsiaTheme="minorEastAsia" w:cstheme="minorEastAsia"/>
                <w:color w:val="auto"/>
                <w:kern w:val="0"/>
                <w:szCs w:val="21"/>
                <w:highlight w:val="none"/>
              </w:rPr>
              <w:t>评价为良</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分；</w:t>
            </w:r>
          </w:p>
          <w:p w14:paraId="56A629E8">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（3）售后服务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基本合理，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可实施性一般，</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基本全面，基本考虑突发情况的，</w:t>
            </w:r>
            <w:r>
              <w:rPr>
                <w:rFonts w:hint="eastAsia" w:asciiTheme="minorEastAsia" w:hAnsiTheme="minorEastAsia" w:eastAsiaTheme="minorEastAsia" w:cstheme="minorEastAsia"/>
                <w:color w:val="auto"/>
                <w:kern w:val="0"/>
                <w:szCs w:val="21"/>
                <w:highlight w:val="none"/>
              </w:rPr>
              <w:t>评价为中</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rPr>
              <w:t>分；</w:t>
            </w:r>
          </w:p>
          <w:p w14:paraId="02EDA099">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lang w:val="en-US" w:eastAsia="zh-CN"/>
              </w:rPr>
              <w:t>（4）售后服务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不合理，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可实施性不强，</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不全面，没有考虑突发情况的，</w:t>
            </w:r>
            <w:r>
              <w:rPr>
                <w:rFonts w:hint="eastAsia" w:asciiTheme="minorEastAsia" w:hAnsiTheme="minorEastAsia" w:eastAsiaTheme="minorEastAsia" w:cstheme="minorEastAsia"/>
                <w:color w:val="auto"/>
                <w:kern w:val="0"/>
                <w:szCs w:val="21"/>
                <w:highlight w:val="none"/>
              </w:rPr>
              <w:t>评价为差</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不得</w:t>
            </w:r>
            <w:r>
              <w:rPr>
                <w:rFonts w:hint="eastAsia" w:asciiTheme="minorEastAsia" w:hAnsiTheme="minorEastAsia" w:eastAsiaTheme="minorEastAsia" w:cstheme="minorEastAsia"/>
                <w:color w:val="auto"/>
                <w:kern w:val="0"/>
                <w:szCs w:val="21"/>
                <w:highlight w:val="none"/>
              </w:rPr>
              <w:t>分</w:t>
            </w:r>
            <w:r>
              <w:rPr>
                <w:rFonts w:hint="eastAsia" w:asciiTheme="minorEastAsia" w:hAnsiTheme="minorEastAsia" w:eastAsiaTheme="minorEastAsia" w:cstheme="minorEastAsia"/>
                <w:color w:val="auto"/>
                <w:kern w:val="0"/>
                <w:szCs w:val="21"/>
                <w:highlight w:val="none"/>
                <w:lang w:eastAsia="zh-CN"/>
              </w:rPr>
              <w:t>。</w:t>
            </w:r>
          </w:p>
          <w:p w14:paraId="65B07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E7B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r>
      <w:tr w14:paraId="751A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C4FDA">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7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17E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left"/>
              <w:textAlignment w:val="auto"/>
              <w:rPr>
                <w:rFonts w:hint="eastAsia" w:ascii="宋体" w:hAnsi="宋体" w:eastAsia="宋体" w:cs="宋体"/>
                <w:sz w:val="21"/>
                <w:szCs w:val="21"/>
                <w:highlight w:val="none"/>
              </w:rPr>
            </w:pPr>
            <w:r>
              <w:rPr>
                <w:rFonts w:hint="eastAsia" w:cs="宋体"/>
                <w:color w:val="000000"/>
                <w:sz w:val="21"/>
                <w:szCs w:val="21"/>
                <w:highlight w:val="none"/>
                <w:lang w:val="en-US" w:eastAsia="zh-CN"/>
              </w:rPr>
              <w:t>样品</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bCs/>
                <w:color w:val="000000"/>
                <w:sz w:val="21"/>
                <w:szCs w:val="21"/>
                <w:highlight w:val="none"/>
              </w:rPr>
              <w:t>（一）评</w:t>
            </w:r>
            <w:r>
              <w:rPr>
                <w:rFonts w:hint="eastAsia" w:eastAsia="宋体" w:cs="宋体"/>
                <w:b/>
                <w:bCs/>
                <w:color w:val="000000"/>
                <w:sz w:val="21"/>
                <w:szCs w:val="21"/>
                <w:highlight w:val="none"/>
                <w:lang w:val="en-US" w:eastAsia="zh-CN"/>
              </w:rPr>
              <w:t>审要求</w:t>
            </w:r>
            <w:r>
              <w:rPr>
                <w:rFonts w:hint="eastAsia" w:ascii="宋体" w:hAnsi="宋体" w:eastAsia="宋体" w:cs="宋体"/>
                <w:b/>
                <w:bCs/>
                <w:color w:val="000000"/>
                <w:sz w:val="21"/>
                <w:szCs w:val="21"/>
                <w:highlight w:val="none"/>
              </w:rPr>
              <w:t>：</w:t>
            </w:r>
          </w:p>
          <w:p w14:paraId="1217827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投标人根据</w:t>
            </w:r>
            <w:r>
              <w:rPr>
                <w:rFonts w:hint="eastAsia" w:eastAsia="宋体" w:cs="宋体"/>
                <w:color w:val="000000"/>
                <w:sz w:val="21"/>
                <w:szCs w:val="21"/>
                <w:highlight w:val="none"/>
                <w:lang w:val="en-US" w:eastAsia="zh-CN"/>
              </w:rPr>
              <w:t>货品清单</w:t>
            </w:r>
            <w:r>
              <w:rPr>
                <w:rFonts w:hint="eastAsia" w:ascii="宋体" w:hAnsi="宋体" w:eastAsia="宋体" w:cs="宋体"/>
                <w:color w:val="000000"/>
                <w:sz w:val="21"/>
                <w:szCs w:val="21"/>
                <w:highlight w:val="none"/>
              </w:rPr>
              <w:t>提供样品</w:t>
            </w:r>
            <w:r>
              <w:rPr>
                <w:rFonts w:hint="eastAsia" w:cs="宋体"/>
                <w:color w:val="000000"/>
                <w:sz w:val="21"/>
                <w:szCs w:val="21"/>
                <w:highlight w:val="none"/>
                <w:lang w:eastAsia="zh-CN"/>
              </w:rPr>
              <w:t>，</w:t>
            </w:r>
            <w:r>
              <w:rPr>
                <w:rFonts w:hint="eastAsia" w:cs="宋体"/>
                <w:color w:val="000000"/>
                <w:sz w:val="21"/>
                <w:szCs w:val="21"/>
                <w:highlight w:val="none"/>
                <w:lang w:val="en-US" w:eastAsia="zh-CN"/>
              </w:rPr>
              <w:t>评审专家根据样品情况进行评审。</w:t>
            </w:r>
          </w:p>
          <w:p w14:paraId="1D61EEAA">
            <w:pPr>
              <w:pStyle w:val="15"/>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评</w:t>
            </w:r>
            <w:r>
              <w:rPr>
                <w:rFonts w:hint="eastAsia" w:eastAsia="宋体" w:cs="宋体"/>
                <w:b/>
                <w:bCs/>
                <w:color w:val="000000"/>
                <w:sz w:val="21"/>
                <w:szCs w:val="21"/>
                <w:highlight w:val="none"/>
                <w:lang w:val="en-US" w:eastAsia="zh-CN"/>
              </w:rPr>
              <w:t>审</w:t>
            </w:r>
            <w:r>
              <w:rPr>
                <w:rFonts w:hint="eastAsia" w:cs="宋体"/>
                <w:b/>
                <w:bCs/>
                <w:color w:val="000000"/>
                <w:sz w:val="21"/>
                <w:szCs w:val="21"/>
                <w:highlight w:val="none"/>
                <w:lang w:val="en-US" w:eastAsia="zh-CN"/>
              </w:rPr>
              <w:t>标准</w:t>
            </w:r>
            <w:r>
              <w:rPr>
                <w:rFonts w:hint="eastAsia" w:ascii="宋体" w:hAnsi="宋体" w:eastAsia="宋体" w:cs="宋体"/>
                <w:b/>
                <w:bCs/>
                <w:color w:val="000000"/>
                <w:sz w:val="21"/>
                <w:szCs w:val="21"/>
                <w:highlight w:val="none"/>
              </w:rPr>
              <w:t>：</w:t>
            </w:r>
          </w:p>
          <w:p w14:paraId="7074E742">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val="en-US" w:eastAsia="zh-CN"/>
              </w:rPr>
              <w:t>1、投标人提供样品得8分</w:t>
            </w:r>
            <w:r>
              <w:rPr>
                <w:rFonts w:hint="eastAsia" w:ascii="宋体" w:hAnsi="宋体" w:eastAsia="宋体" w:cs="宋体"/>
                <w:color w:val="000000"/>
                <w:sz w:val="21"/>
                <w:szCs w:val="21"/>
                <w:highlight w:val="none"/>
                <w:lang w:val="en-US" w:eastAsia="zh-CN"/>
              </w:rPr>
              <w:t>，</w:t>
            </w:r>
            <w:r>
              <w:rPr>
                <w:rFonts w:hint="eastAsia" w:cs="宋体"/>
                <w:color w:val="000000"/>
                <w:sz w:val="21"/>
                <w:szCs w:val="21"/>
                <w:highlight w:val="none"/>
                <w:lang w:val="en-US" w:eastAsia="zh-CN"/>
              </w:rPr>
              <w:t>未</w:t>
            </w:r>
            <w:r>
              <w:rPr>
                <w:rFonts w:hint="eastAsia" w:ascii="宋体" w:hAnsi="宋体" w:eastAsia="宋体" w:cs="宋体"/>
                <w:color w:val="000000"/>
                <w:sz w:val="21"/>
                <w:szCs w:val="21"/>
                <w:highlight w:val="none"/>
              </w:rPr>
              <w:t>提供</w:t>
            </w:r>
            <w:r>
              <w:rPr>
                <w:rFonts w:hint="eastAsia" w:cs="宋体"/>
                <w:color w:val="000000"/>
                <w:sz w:val="21"/>
                <w:szCs w:val="21"/>
                <w:highlight w:val="none"/>
                <w:lang w:val="en-US" w:eastAsia="zh-CN"/>
              </w:rPr>
              <w:t>样品的本项</w:t>
            </w:r>
            <w:r>
              <w:rPr>
                <w:rFonts w:hint="eastAsia" w:ascii="宋体" w:hAnsi="宋体" w:eastAsia="宋体" w:cs="宋体"/>
                <w:color w:val="000000"/>
                <w:sz w:val="21"/>
                <w:szCs w:val="21"/>
                <w:highlight w:val="none"/>
              </w:rPr>
              <w:t>不得分</w:t>
            </w:r>
            <w:r>
              <w:rPr>
                <w:rFonts w:hint="eastAsia" w:ascii="宋体" w:hAnsi="宋体" w:eastAsia="宋体" w:cs="宋体"/>
                <w:color w:val="000000"/>
                <w:sz w:val="21"/>
                <w:szCs w:val="21"/>
                <w:highlight w:val="none"/>
                <w:lang w:eastAsia="zh-CN"/>
              </w:rPr>
              <w:t>。</w:t>
            </w:r>
          </w:p>
          <w:p w14:paraId="629D20C6">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val="en-US" w:eastAsia="zh-CN"/>
              </w:rPr>
              <w:t>2、</w:t>
            </w:r>
            <w:r>
              <w:rPr>
                <w:rFonts w:hint="eastAsia" w:ascii="宋体" w:hAnsi="宋体" w:eastAsia="宋体" w:cs="宋体"/>
                <w:color w:val="000000"/>
                <w:sz w:val="21"/>
                <w:szCs w:val="21"/>
                <w:highlight w:val="none"/>
              </w:rPr>
              <w:t>在此基础上，</w:t>
            </w:r>
            <w:r>
              <w:rPr>
                <w:rFonts w:hint="eastAsia" w:cs="宋体"/>
                <w:color w:val="000000"/>
                <w:sz w:val="21"/>
                <w:szCs w:val="21"/>
                <w:highlight w:val="none"/>
                <w:lang w:val="en-US" w:eastAsia="zh-CN"/>
              </w:rPr>
              <w:t>评审专家根据样品质量情况</w:t>
            </w:r>
            <w:r>
              <w:rPr>
                <w:rFonts w:hint="eastAsia" w:ascii="宋体" w:hAnsi="宋体" w:eastAsia="宋体" w:cs="宋体"/>
                <w:color w:val="000000"/>
                <w:sz w:val="21"/>
                <w:szCs w:val="21"/>
                <w:highlight w:val="none"/>
              </w:rPr>
              <w:t>进行评分：</w:t>
            </w:r>
          </w:p>
          <w:p w14:paraId="41B4553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1</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w:t>
            </w:r>
            <w:r>
              <w:rPr>
                <w:rFonts w:hint="eastAsia" w:cs="宋体"/>
                <w:color w:val="auto"/>
                <w:kern w:val="2"/>
                <w:sz w:val="21"/>
                <w:szCs w:val="21"/>
                <w:highlight w:val="none"/>
                <w:lang w:val="en-US" w:eastAsia="zh-CN" w:bidi="ar-SA"/>
              </w:rPr>
              <w:t>与</w:t>
            </w:r>
            <w:r>
              <w:rPr>
                <w:rFonts w:hint="eastAsia" w:ascii="宋体" w:hAnsi="宋体" w:eastAsia="宋体" w:cs="宋体"/>
                <w:color w:val="auto"/>
                <w:kern w:val="2"/>
                <w:sz w:val="21"/>
                <w:szCs w:val="21"/>
                <w:highlight w:val="none"/>
                <w:lang w:val="en-US" w:eastAsia="zh-CN" w:bidi="ar-SA"/>
              </w:rPr>
              <w:t>制作水平先进、实用性强、创新性高，完全满足</w:t>
            </w:r>
            <w:r>
              <w:rPr>
                <w:rFonts w:hint="eastAsia" w:eastAsia="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为优</w:t>
            </w:r>
            <w:r>
              <w:rPr>
                <w:rFonts w:hint="eastAsia" w:ascii="宋体" w:hAnsi="宋体" w:eastAsia="宋体" w:cs="宋体"/>
                <w:color w:val="000000"/>
                <w:sz w:val="21"/>
                <w:szCs w:val="21"/>
                <w:highlight w:val="none"/>
              </w:rPr>
              <w:t>，加</w:t>
            </w:r>
            <w:r>
              <w:rPr>
                <w:rFonts w:hint="eastAsia" w:cs="宋体"/>
                <w:color w:val="000000"/>
                <w:sz w:val="21"/>
                <w:szCs w:val="21"/>
                <w:highlight w:val="none"/>
                <w:lang w:val="en-US" w:eastAsia="zh-CN"/>
              </w:rPr>
              <w:t>7</w:t>
            </w:r>
            <w:r>
              <w:rPr>
                <w:rFonts w:hint="eastAsia" w:ascii="宋体" w:hAnsi="宋体" w:eastAsia="宋体" w:cs="宋体"/>
                <w:color w:val="000000"/>
                <w:sz w:val="21"/>
                <w:szCs w:val="21"/>
                <w:highlight w:val="none"/>
              </w:rPr>
              <w:t>分；</w:t>
            </w:r>
          </w:p>
          <w:p w14:paraId="67231A7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2</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制作工艺与制作水平比较先进、实用性较强、创新性较高，基本满足</w:t>
            </w:r>
            <w:r>
              <w:rPr>
                <w:rFonts w:hint="eastAsia" w:eastAsia="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为良</w:t>
            </w:r>
            <w:r>
              <w:rPr>
                <w:rFonts w:hint="eastAsia" w:ascii="宋体" w:hAnsi="宋体" w:eastAsia="宋体" w:cs="宋体"/>
                <w:color w:val="000000"/>
                <w:sz w:val="21"/>
                <w:szCs w:val="21"/>
                <w:highlight w:val="none"/>
              </w:rPr>
              <w:t>，加</w:t>
            </w:r>
            <w:r>
              <w:rPr>
                <w:rFonts w:hint="eastAsia" w:cs="宋体"/>
                <w:color w:val="000000"/>
                <w:sz w:val="21"/>
                <w:szCs w:val="21"/>
                <w:highlight w:val="none"/>
                <w:lang w:val="en-US" w:eastAsia="zh-CN"/>
              </w:rPr>
              <w:t>3</w:t>
            </w:r>
            <w:r>
              <w:rPr>
                <w:rFonts w:hint="eastAsia" w:ascii="宋体" w:hAnsi="宋体" w:eastAsia="宋体" w:cs="宋体"/>
                <w:color w:val="000000"/>
                <w:sz w:val="21"/>
                <w:szCs w:val="21"/>
                <w:highlight w:val="none"/>
              </w:rPr>
              <w:t>分；</w:t>
            </w:r>
          </w:p>
          <w:p w14:paraId="412422B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3</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制作工艺与制作水平一般，实用性和创新性一般，基本满足</w:t>
            </w:r>
            <w:r>
              <w:rPr>
                <w:rFonts w:hint="eastAsia" w:eastAsia="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为中，</w:t>
            </w:r>
            <w:r>
              <w:rPr>
                <w:rFonts w:hint="eastAsia" w:ascii="宋体" w:hAnsi="宋体" w:eastAsia="宋体" w:cs="宋体"/>
                <w:color w:val="000000"/>
                <w:sz w:val="21"/>
                <w:szCs w:val="21"/>
                <w:highlight w:val="none"/>
              </w:rPr>
              <w:t>加</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分；</w:t>
            </w:r>
          </w:p>
          <w:p w14:paraId="726E0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制作工艺与制作水平落后，实用性和创新性较差，不能满足征集需求及征集方样品的</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评审为差，</w:t>
            </w:r>
            <w:r>
              <w:rPr>
                <w:rFonts w:hint="eastAsia" w:ascii="宋体" w:hAnsi="宋体" w:eastAsia="宋体" w:cs="宋体"/>
                <w:color w:val="000000"/>
                <w:sz w:val="21"/>
                <w:szCs w:val="21"/>
                <w:highlight w:val="none"/>
              </w:rPr>
              <w:t>不加分</w:t>
            </w:r>
            <w:r>
              <w:rPr>
                <w:rFonts w:hint="eastAsia" w:ascii="宋体" w:hAnsi="宋体" w:eastAsia="宋体" w:cs="宋体"/>
                <w:color w:val="000000"/>
                <w:sz w:val="21"/>
                <w:szCs w:val="21"/>
                <w:highlight w:val="none"/>
                <w:lang w:eastAsia="zh-CN"/>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372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r>
      <w:tr w14:paraId="6B5A8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00" w:type="dxa"/>
            <w:vMerge w:val="restart"/>
            <w:tcBorders>
              <w:top w:val="single" w:color="000000" w:sz="4" w:space="0"/>
              <w:left w:val="single" w:color="000000" w:sz="4" w:space="0"/>
              <w:right w:val="single" w:color="000000" w:sz="4" w:space="0"/>
            </w:tcBorders>
            <w:shd w:val="clear" w:color="auto" w:fill="auto"/>
            <w:vAlign w:val="center"/>
          </w:tcPr>
          <w:p w14:paraId="1F146B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E479C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BCA69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4C9F0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3BA86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013DB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7D90D5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27B734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3312F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D4428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C190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napToGrid w:val="0"/>
                <w:kern w:val="0"/>
                <w:sz w:val="21"/>
                <w:szCs w:val="21"/>
                <w:highlight w:val="none"/>
                <w:lang w:val="en-US" w:eastAsia="zh-CN" w:bidi="ar-SA"/>
              </w:rPr>
              <w:t>商务部分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F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219B">
            <w:pPr>
              <w:keepNext w:val="0"/>
              <w:keepLines w:val="0"/>
              <w:widowControl/>
              <w:suppressLineNumbers w:val="0"/>
              <w:jc w:val="left"/>
              <w:textAlignment w:val="center"/>
              <w:rPr>
                <w:rFonts w:hint="default" w:cs="宋体"/>
                <w:color w:val="000000"/>
                <w:sz w:val="21"/>
                <w:szCs w:val="21"/>
                <w:highlight w:val="none"/>
                <w:lang w:val="en-US" w:eastAsia="zh-CN"/>
              </w:rPr>
            </w:pPr>
            <w:r>
              <w:rPr>
                <w:rFonts w:hint="eastAsia" w:cs="宋体"/>
                <w:color w:val="000000"/>
                <w:sz w:val="21"/>
                <w:szCs w:val="21"/>
                <w:highlight w:val="none"/>
                <w:lang w:val="en-US" w:eastAsia="zh-CN"/>
              </w:rPr>
              <w:t>有效业绩</w:t>
            </w:r>
          </w:p>
          <w:p w14:paraId="6B20D19F">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评审标准：</w:t>
            </w:r>
          </w:p>
          <w:p w14:paraId="5E851B30">
            <w:pPr>
              <w:keepNext w:val="0"/>
              <w:keepLines w:val="0"/>
              <w:pageBreakBefore w:val="0"/>
              <w:widowControl w:val="0"/>
              <w:kinsoku/>
              <w:overflowPunct/>
              <w:topLinePunct w:val="0"/>
              <w:autoSpaceDE/>
              <w:autoSpaceDN/>
              <w:bidi w:val="0"/>
              <w:adjustRightInd/>
              <w:spacing w:line="240" w:lineRule="auto"/>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投标人自</w:t>
            </w:r>
            <w:r>
              <w:rPr>
                <w:rFonts w:ascii="宋体" w:hAnsi="宋体" w:eastAsia="宋体" w:cs="宋体"/>
                <w:kern w:val="2"/>
                <w:sz w:val="21"/>
                <w:szCs w:val="21"/>
                <w:highlight w:val="none"/>
                <w:lang w:val="en-US" w:eastAsia="zh-CN" w:bidi="ar-SA"/>
              </w:rPr>
              <w:t>202</w:t>
            </w:r>
            <w:r>
              <w:rPr>
                <w:rFonts w:hint="eastAsia" w:ascii="宋体" w:hAnsi="宋体"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年1月1日至本项目投标截止之日（以合同签订日期为准）完成的</w:t>
            </w:r>
            <w:r>
              <w:rPr>
                <w:rFonts w:hint="eastAsia" w:ascii="Times New Roman" w:hAnsi="Times New Roman" w:eastAsia="宋体" w:cs="Times New Roman"/>
                <w:kern w:val="2"/>
                <w:sz w:val="21"/>
                <w:szCs w:val="24"/>
                <w:highlight w:val="none"/>
                <w:lang w:val="en-US" w:eastAsia="zh-CN" w:bidi="ar-SA"/>
              </w:rPr>
              <w:t>医院或大学以及其他科研单位的</w:t>
            </w:r>
            <w:r>
              <w:rPr>
                <w:rFonts w:hint="eastAsia" w:ascii="宋体" w:hAnsi="宋体" w:eastAsia="宋体" w:cs="宋体"/>
                <w:sz w:val="21"/>
                <w:szCs w:val="21"/>
                <w:highlight w:val="none"/>
              </w:rPr>
              <w:t>同类产品</w:t>
            </w:r>
            <w:r>
              <w:rPr>
                <w:rFonts w:hint="eastAsia" w:ascii="宋体" w:hAnsi="宋体" w:cs="宋体"/>
                <w:sz w:val="21"/>
                <w:szCs w:val="21"/>
                <w:highlight w:val="none"/>
                <w:lang w:eastAsia="zh-CN"/>
              </w:rPr>
              <w:t>的</w:t>
            </w:r>
            <w:r>
              <w:rPr>
                <w:rFonts w:hint="eastAsia" w:ascii="宋体" w:hAnsi="宋体" w:eastAsia="宋体" w:cs="宋体"/>
                <w:sz w:val="21"/>
                <w:szCs w:val="21"/>
                <w:highlight w:val="none"/>
              </w:rPr>
              <w:t>供货业绩</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每提供一份</w:t>
            </w:r>
            <w:r>
              <w:rPr>
                <w:rFonts w:hint="eastAsia" w:ascii="宋体" w:hAnsi="宋体" w:cs="宋体"/>
                <w:sz w:val="21"/>
                <w:szCs w:val="21"/>
                <w:highlight w:val="none"/>
                <w:lang w:val="en-US" w:eastAsia="zh-CN"/>
              </w:rPr>
              <w:t>有效业绩</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分，最高得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需本投标单位出具的有效发票或合同，若非本投标单位出具的发票或合同，做无效处理，不得分。</w:t>
            </w:r>
          </w:p>
          <w:p w14:paraId="7139DCDC">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证明文件：</w:t>
            </w:r>
          </w:p>
          <w:p w14:paraId="1578C8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1"/>
                <w:szCs w:val="21"/>
                <w:highlight w:val="none"/>
              </w:rPr>
              <w:t>提供发票或合同证明复印件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或截图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加盖公章。</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F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EF2E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1200" w:type="dxa"/>
            <w:vMerge w:val="continue"/>
            <w:tcBorders>
              <w:left w:val="single" w:color="000000" w:sz="4" w:space="0"/>
              <w:right w:val="single" w:color="000000" w:sz="4" w:space="0"/>
            </w:tcBorders>
            <w:shd w:val="clear" w:color="auto" w:fill="auto"/>
            <w:vAlign w:val="center"/>
          </w:tcPr>
          <w:p w14:paraId="7EB27A87">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4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A555">
            <w:pPr>
              <w:keepNext w:val="0"/>
              <w:keepLines w:val="0"/>
              <w:pageBreakBefore w:val="0"/>
              <w:kinsoku/>
              <w:overflowPunct/>
              <w:topLinePunct w:val="0"/>
              <w:autoSpaceDE/>
              <w:autoSpaceDN/>
              <w:bidi w:val="0"/>
              <w:adjustRightInd/>
              <w:spacing w:line="240" w:lineRule="auto"/>
              <w:textAlignment w:val="auto"/>
              <w:rPr>
                <w:rFonts w:hint="default" w:ascii="宋体" w:hAnsi="宋体"/>
                <w:szCs w:val="21"/>
                <w:highlight w:val="none"/>
                <w:lang w:val="en-US" w:eastAsia="zh-CN"/>
              </w:rPr>
            </w:pPr>
            <w:r>
              <w:rPr>
                <w:rFonts w:hint="eastAsia" w:ascii="宋体" w:hAnsi="宋体"/>
                <w:szCs w:val="21"/>
                <w:highlight w:val="none"/>
                <w:lang w:val="en-US" w:eastAsia="zh-CN"/>
              </w:rPr>
              <w:t>履约评价</w:t>
            </w:r>
          </w:p>
          <w:p w14:paraId="473070CB">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评审标准：</w:t>
            </w:r>
          </w:p>
          <w:p w14:paraId="57CD1357">
            <w:pPr>
              <w:keepNext w:val="0"/>
              <w:keepLines w:val="0"/>
              <w:pageBreakBefore w:val="0"/>
              <w:kinsoku/>
              <w:overflowPunct/>
              <w:topLinePunct w:val="0"/>
              <w:autoSpaceDE/>
              <w:autoSpaceDN/>
              <w:bidi w:val="0"/>
              <w:adjustRightInd/>
              <w:spacing w:line="240" w:lineRule="auto"/>
              <w:textAlignment w:val="auto"/>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lang w:val="en-US" w:eastAsia="zh-CN"/>
              </w:rPr>
              <w:t>在</w:t>
            </w:r>
            <w:r>
              <w:rPr>
                <w:rFonts w:hint="eastAsia" w:ascii="宋体" w:hAnsi="宋体"/>
                <w:szCs w:val="21"/>
                <w:highlight w:val="none"/>
              </w:rPr>
              <w:t>提供上述经评审有效的业绩中，能够提供用户出具的履约评价书，且评价为优或满意以上的，每份得1分；最高得5分。不提供或者不能有效证明的，得0分。</w:t>
            </w:r>
          </w:p>
          <w:p w14:paraId="05B40E31">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证明文件：</w:t>
            </w:r>
          </w:p>
          <w:p w14:paraId="69CD5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szCs w:val="21"/>
                <w:highlight w:val="none"/>
              </w:rPr>
              <w:t>须提供用户出具的履约评价书复印件，并加盖投标人公章，原件备查。</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8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841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jc w:val="center"/>
        </w:trPr>
        <w:tc>
          <w:tcPr>
            <w:tcW w:w="1200" w:type="dxa"/>
            <w:vMerge w:val="continue"/>
            <w:tcBorders>
              <w:left w:val="single" w:color="000000" w:sz="4" w:space="0"/>
              <w:right w:val="single" w:color="000000" w:sz="4" w:space="0"/>
            </w:tcBorders>
            <w:shd w:val="clear" w:color="auto" w:fill="auto"/>
            <w:vAlign w:val="center"/>
          </w:tcPr>
          <w:p w14:paraId="16A93A2E">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5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92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kern w:val="0"/>
                <w:szCs w:val="21"/>
                <w:highlight w:val="none"/>
                <w:lang w:val="en-US" w:eastAsia="zh-CN"/>
              </w:rPr>
              <w:t xml:space="preserve">仓储、运输能力  </w:t>
            </w:r>
            <w:r>
              <w:rPr>
                <w:rFonts w:hint="eastAsia" w:ascii="宋体" w:hAnsi="宋体" w:eastAsia="宋体" w:cs="宋体"/>
                <w:i w:val="0"/>
                <w:iCs w:val="0"/>
                <w:color w:val="000000"/>
                <w:kern w:val="0"/>
                <w:sz w:val="22"/>
                <w:szCs w:val="22"/>
                <w:u w:val="none"/>
                <w:lang w:val="en-US" w:eastAsia="zh-CN" w:bidi="ar"/>
              </w:rPr>
              <w:t xml:space="preserve">      </w:t>
            </w:r>
          </w:p>
          <w:p w14:paraId="065CF543">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评审标准：</w:t>
            </w:r>
          </w:p>
          <w:p w14:paraId="4735E8F6">
            <w:pPr>
              <w:keepNext w:val="0"/>
              <w:keepLines w:val="0"/>
              <w:pageBreakBefore w:val="0"/>
              <w:kinsoku/>
              <w:overflowPunct/>
              <w:topLinePunct w:val="0"/>
              <w:autoSpaceDE/>
              <w:autoSpaceDN/>
              <w:bidi w:val="0"/>
              <w:adjustRightInd/>
              <w:spacing w:line="240" w:lineRule="auto"/>
              <w:textAlignment w:val="auto"/>
              <w:rPr>
                <w:rFonts w:hint="eastAsia" w:ascii="宋体" w:hAnsi="宋体"/>
                <w:szCs w:val="21"/>
                <w:highlight w:val="none"/>
                <w:lang w:val="en-US" w:eastAsia="zh-CN"/>
              </w:rPr>
            </w:pPr>
            <w:r>
              <w:rPr>
                <w:rFonts w:hint="eastAsia" w:ascii="宋体" w:hAnsi="宋体"/>
                <w:szCs w:val="21"/>
                <w:highlight w:val="none"/>
                <w:lang w:val="en-US" w:eastAsia="zh-CN"/>
              </w:rPr>
              <w:t>1、投标人自有或租赁仓库的，得2分。</w:t>
            </w:r>
            <w:r>
              <w:rPr>
                <w:rFonts w:hint="eastAsia" w:ascii="宋体" w:hAnsi="宋体"/>
                <w:szCs w:val="21"/>
                <w:highlight w:val="none"/>
                <w:lang w:val="en-US" w:eastAsia="zh-CN"/>
              </w:rPr>
              <w:br w:type="textWrapping"/>
            </w:r>
            <w:r>
              <w:rPr>
                <w:rFonts w:hint="eastAsia" w:ascii="宋体" w:hAnsi="宋体"/>
                <w:szCs w:val="21"/>
                <w:highlight w:val="none"/>
                <w:lang w:val="en-US" w:eastAsia="zh-CN"/>
              </w:rPr>
              <w:t>2、根据投标人仓库容积进行综合评审，面积最大的为第一名，以此类推，第一名得5分，第二名得3分，第三名得2分，第四名及以后得1分。投标时请提供相关证明材料。</w:t>
            </w:r>
            <w:r>
              <w:rPr>
                <w:rFonts w:hint="eastAsia" w:ascii="宋体" w:hAnsi="宋体"/>
                <w:szCs w:val="21"/>
                <w:highlight w:val="none"/>
                <w:lang w:val="en-US" w:eastAsia="zh-CN"/>
              </w:rPr>
              <w:br w:type="textWrapping"/>
            </w:r>
            <w:r>
              <w:rPr>
                <w:rFonts w:hint="eastAsia" w:ascii="宋体" w:hAnsi="宋体"/>
                <w:szCs w:val="21"/>
                <w:highlight w:val="none"/>
                <w:lang w:val="en-US" w:eastAsia="zh-CN"/>
              </w:rPr>
              <w:t>3、投标人运输车辆：拟投入一辆运输车辆得1分，最高得3分。无正规运输车辆，不得分。</w:t>
            </w:r>
          </w:p>
          <w:p w14:paraId="535D8315">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证明文件：</w:t>
            </w:r>
          </w:p>
          <w:p w14:paraId="64E11776">
            <w:pPr>
              <w:keepNext w:val="0"/>
              <w:keepLines w:val="0"/>
              <w:pageBreakBefore w:val="0"/>
              <w:kinsoku/>
              <w:wordWrap w:val="0"/>
              <w:overflowPunct/>
              <w:topLinePunct w:val="0"/>
              <w:autoSpaceDE/>
              <w:autoSpaceDN/>
              <w:bidi w:val="0"/>
              <w:adjustRightInd/>
              <w:snapToGrid w:val="0"/>
              <w:spacing w:line="240" w:lineRule="auto"/>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1、需提供自有产权或租赁相关证明材料，未提供或提供资料无法判断的，该项不得分。</w:t>
            </w:r>
          </w:p>
          <w:p w14:paraId="3DE74AE5">
            <w:pPr>
              <w:keepNext w:val="0"/>
              <w:keepLines w:val="0"/>
              <w:pageBreakBefore w:val="0"/>
              <w:kinsoku/>
              <w:wordWrap w:val="0"/>
              <w:overflowPunct/>
              <w:topLinePunct w:val="0"/>
              <w:autoSpaceDE/>
              <w:autoSpaceDN/>
              <w:bidi w:val="0"/>
              <w:adjustRightInd/>
              <w:snapToGrid w:val="0"/>
              <w:spacing w:line="240" w:lineRule="auto"/>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2、以房产证或租赁合同内载明的容积为准，如未提供或资料不完整，该项不得分。</w:t>
            </w:r>
          </w:p>
          <w:p w14:paraId="13541195">
            <w:pPr>
              <w:keepNext w:val="0"/>
              <w:keepLines w:val="0"/>
              <w:pageBreakBefore w:val="0"/>
              <w:kinsoku/>
              <w:wordWrap w:val="0"/>
              <w:overflowPunct/>
              <w:topLinePunct w:val="0"/>
              <w:autoSpaceDE/>
              <w:autoSpaceDN/>
              <w:bidi w:val="0"/>
              <w:adjustRightInd/>
              <w:snapToGrid w:val="0"/>
              <w:spacing w:line="240" w:lineRule="auto"/>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3、房产证或租赁合同内的租赁用途需为仓储，其余用途不得分。</w:t>
            </w:r>
          </w:p>
          <w:p w14:paraId="1AA02C04">
            <w:pPr>
              <w:keepNext w:val="0"/>
              <w:keepLines w:val="0"/>
              <w:pageBreakBefore w:val="0"/>
              <w:kinsoku/>
              <w:wordWrap w:val="0"/>
              <w:overflowPunct/>
              <w:topLinePunct w:val="0"/>
              <w:autoSpaceDE/>
              <w:autoSpaceDN/>
              <w:bidi w:val="0"/>
              <w:adjustRightInd/>
              <w:snapToGrid w:val="0"/>
              <w:spacing w:line="240" w:lineRule="auto"/>
              <w:textAlignment w:val="auto"/>
              <w:rPr>
                <w:rFonts w:hint="eastAsia"/>
              </w:rPr>
            </w:pPr>
            <w:r>
              <w:rPr>
                <w:rFonts w:hint="eastAsia" w:ascii="宋体" w:hAnsi="宋体" w:cs="宋体"/>
                <w:szCs w:val="21"/>
                <w:highlight w:val="none"/>
                <w:lang w:val="en-US" w:eastAsia="zh-CN"/>
              </w:rPr>
              <w:t>4、提供相关车辆的行驶证或采购合同或购买发票或者授权文件。</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5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65B4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00" w:type="dxa"/>
            <w:vMerge w:val="continue"/>
            <w:tcBorders>
              <w:left w:val="single" w:color="000000" w:sz="4" w:space="0"/>
              <w:bottom w:val="nil"/>
              <w:right w:val="single" w:color="000000" w:sz="4" w:space="0"/>
            </w:tcBorders>
            <w:shd w:val="clear" w:color="auto" w:fill="auto"/>
            <w:vAlign w:val="center"/>
          </w:tcPr>
          <w:p w14:paraId="20CF0FE1">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38CA">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FC56">
            <w:pPr>
              <w:keepNext w:val="0"/>
              <w:keepLines w:val="0"/>
              <w:pageBreakBefore w:val="0"/>
              <w:kinsoku/>
              <w:wordWrap w:val="0"/>
              <w:overflowPunct/>
              <w:topLinePunct w:val="0"/>
              <w:autoSpaceDE/>
              <w:autoSpaceDN/>
              <w:bidi w:val="0"/>
              <w:adjustRightInd/>
              <w:snapToGrid w:val="0"/>
              <w:spacing w:line="240" w:lineRule="auto"/>
              <w:textAlignment w:val="auto"/>
              <w:rPr>
                <w:rFonts w:hint="eastAsia" w:ascii="宋体" w:hAnsi="宋体" w:cs="宋体"/>
                <w:b/>
                <w:szCs w:val="21"/>
                <w:highlight w:val="none"/>
              </w:rPr>
            </w:pPr>
            <w:r>
              <w:rPr>
                <w:rFonts w:hint="eastAsia" w:ascii="宋体" w:hAnsi="宋体" w:cs="宋体"/>
                <w:kern w:val="0"/>
                <w:szCs w:val="21"/>
                <w:highlight w:val="none"/>
              </w:rPr>
              <w:t>诚信</w:t>
            </w:r>
          </w:p>
          <w:p w14:paraId="20AC3867">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b/>
                <w:szCs w:val="21"/>
                <w:highlight w:val="none"/>
              </w:rPr>
            </w:pPr>
            <w:r>
              <w:rPr>
                <w:rFonts w:hint="eastAsia" w:ascii="宋体" w:hAnsi="宋体" w:cs="宋体"/>
                <w:b/>
                <w:szCs w:val="21"/>
                <w:highlight w:val="none"/>
                <w:lang w:eastAsia="zh-CN"/>
              </w:rPr>
              <w:t>（</w:t>
            </w:r>
            <w:r>
              <w:rPr>
                <w:rFonts w:hint="eastAsia" w:ascii="宋体" w:hAnsi="宋体" w:cs="宋体"/>
                <w:b/>
                <w:szCs w:val="21"/>
                <w:highlight w:val="none"/>
                <w:lang w:val="en-US" w:eastAsia="zh-CN"/>
              </w:rPr>
              <w:t>一</w:t>
            </w:r>
            <w:r>
              <w:rPr>
                <w:rFonts w:hint="eastAsia" w:ascii="宋体" w:hAnsi="宋体" w:cs="宋体"/>
                <w:b/>
                <w:szCs w:val="21"/>
                <w:highlight w:val="none"/>
                <w:lang w:eastAsia="zh-CN"/>
              </w:rPr>
              <w:t>）</w:t>
            </w:r>
            <w:r>
              <w:rPr>
                <w:rFonts w:hint="eastAsia" w:ascii="宋体" w:hAnsi="宋体" w:cs="宋体"/>
                <w:b/>
                <w:szCs w:val="21"/>
                <w:highlight w:val="none"/>
              </w:rPr>
              <w:t>评分内容：</w:t>
            </w:r>
          </w:p>
          <w:p w14:paraId="47D171E4">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szCs w:val="21"/>
                <w:highlight w:val="none"/>
              </w:rPr>
            </w:pPr>
            <w:r>
              <w:rPr>
                <w:rFonts w:hint="eastAsia" w:ascii="宋体" w:hAnsi="宋体" w:cs="宋体"/>
                <w:szCs w:val="21"/>
                <w:highlight w:val="none"/>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28736340">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b/>
                <w:szCs w:val="21"/>
                <w:highlight w:val="none"/>
              </w:rPr>
            </w:pPr>
            <w:r>
              <w:rPr>
                <w:rFonts w:hint="eastAsia" w:ascii="宋体" w:hAnsi="宋体" w:cs="宋体"/>
                <w:b/>
                <w:szCs w:val="21"/>
                <w:highlight w:val="none"/>
              </w:rPr>
              <w:t xml:space="preserve">（二）评分依据： </w:t>
            </w:r>
          </w:p>
          <w:p w14:paraId="5CA696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szCs w:val="21"/>
                <w:highlight w:val="none"/>
              </w:rPr>
              <w:t>投标人无需提供任何证明材料，由工作人员向评审委员会提供相关信息。</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C98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7836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6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szCs w:val="21"/>
                <w:highlight w:val="none"/>
                <w:lang w:val="en-US" w:eastAsia="zh-CN"/>
              </w:rPr>
              <w:t>价格部分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8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2280">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采用低价优先法计算，即满足</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 xml:space="preserve">文件要求且投标价格最低的投标报价为评标基准价，其价格分为满分。其他投标人的价格分统一按照下列公式计算： </w:t>
            </w:r>
          </w:p>
          <w:p w14:paraId="51FA1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themeColor="text1"/>
                <w:szCs w:val="21"/>
                <w:highlight w:val="none"/>
                <w14:textFill>
                  <w14:solidFill>
                    <w14:schemeClr w14:val="tx1"/>
                  </w14:solidFill>
                </w14:textFill>
              </w:rPr>
              <w:t>投标报价得分=(基准价／扣除后的报价)×</w:t>
            </w:r>
            <w:r>
              <w:rPr>
                <w:rFonts w:hint="eastAsia" w:ascii="宋体" w:hAnsi="宋体" w:cs="宋体"/>
                <w:b/>
                <w:bCs/>
                <w:color w:val="000000" w:themeColor="text1"/>
                <w:szCs w:val="21"/>
                <w:highlight w:val="none"/>
                <w:lang w:val="en-US" w:eastAsia="zh-CN"/>
                <w14:textFill>
                  <w14:solidFill>
                    <w14:schemeClr w14:val="tx1"/>
                  </w14:solidFill>
                </w14:textFill>
              </w:rPr>
              <w:t>30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7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38754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EB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6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14:paraId="26098853">
      <w:pPr>
        <w:bidi w:val="0"/>
        <w:jc w:val="cente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3717927-8C6D-41FE-8569-F085FEF7060E}"/>
  </w:font>
  <w:font w:name="黑体">
    <w:panose1 w:val="02010609060101010101"/>
    <w:charset w:val="86"/>
    <w:family w:val="auto"/>
    <w:pitch w:val="default"/>
    <w:sig w:usb0="800002BF" w:usb1="38CF7CFA" w:usb2="00000016" w:usb3="00000000" w:csb0="00040001" w:csb1="00000000"/>
    <w:embedRegular r:id="rId2" w:fontKey="{83A0E0D2-C181-417C-9B8C-28EC80AB007B}"/>
  </w:font>
  <w:font w:name="Courier New">
    <w:panose1 w:val="02070309020205020404"/>
    <w:charset w:val="01"/>
    <w:family w:val="modern"/>
    <w:pitch w:val="default"/>
    <w:sig w:usb0="E0002EFF" w:usb1="C0007843" w:usb2="00000009" w:usb3="00000000" w:csb0="400001FF" w:csb1="FFFF0000"/>
    <w:embedRegular r:id="rId3" w:fontKey="{A697F024-15E3-4049-BB27-5FDB6C9ABE1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9ADA875A-D9F8-408A-ADBB-A5B84FB10F4D}"/>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5" w:fontKey="{BEC3EF09-47DA-46B3-8649-6E5C3DC4FA0B}"/>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6" w:fontKey="{E128977A-20D4-4750-987C-AE727CC12667}"/>
  </w:font>
  <w:font w:name="Wingdings 2">
    <w:panose1 w:val="05020102010507070707"/>
    <w:charset w:val="00"/>
    <w:family w:val="auto"/>
    <w:pitch w:val="default"/>
    <w:sig w:usb0="00000000" w:usb1="00000000" w:usb2="00000000" w:usb3="00000000" w:csb0="80000000" w:csb1="00000000"/>
    <w:embedRegular r:id="rId7" w:fontKey="{AB2F3EFF-B0F3-4929-9BC6-92FD0A68BEDD}"/>
  </w:font>
  <w:font w:name="方正仿宋_GBK">
    <w:panose1 w:val="02000000000000000000"/>
    <w:charset w:val="86"/>
    <w:family w:val="auto"/>
    <w:pitch w:val="default"/>
    <w:sig w:usb0="A00002BF" w:usb1="38CF7CFA" w:usb2="00082016" w:usb3="00000000" w:csb0="00040001" w:csb1="00000000"/>
    <w:embedRegular r:id="rId8" w:fontKey="{D1C3C02A-1981-485D-AE82-06F08E061196}"/>
  </w:font>
  <w:font w:name="方正小标宋简体">
    <w:panose1 w:val="02010600010101010101"/>
    <w:charset w:val="86"/>
    <w:family w:val="auto"/>
    <w:pitch w:val="default"/>
    <w:sig w:usb0="00000001" w:usb1="080E0000" w:usb2="00000000" w:usb3="00000000" w:csb0="00040000" w:csb1="00000000"/>
    <w:embedRegular r:id="rId9" w:fontKey="{0464A05E-F514-4535-96E5-069CFB84B5C3}"/>
  </w:font>
  <w:font w:name="方正小标宋_GBK">
    <w:panose1 w:val="02000000000000000000"/>
    <w:charset w:val="86"/>
    <w:family w:val="script"/>
    <w:pitch w:val="default"/>
    <w:sig w:usb0="A00002BF" w:usb1="38CF7CFA" w:usb2="00082016" w:usb3="00000000" w:csb0="00040001" w:csb1="00000000"/>
    <w:embedRegular r:id="rId10" w:fontKey="{9251408D-EAE8-402D-9364-493D3AC78842}"/>
  </w:font>
  <w:font w:name="WPSEMBED1">
    <w:panose1 w:val="02010609030101010101"/>
    <w:charset w:val="86"/>
    <w:family w:val="auto"/>
    <w:pitch w:val="default"/>
    <w:sig w:usb0="00000001" w:usb1="080E0000" w:usb2="00000000" w:usb3="00000000" w:csb0="00040000" w:csb1="00000000"/>
  </w:font>
  <w:font w:name="WPSEMBED2">
    <w:panose1 w:val="05020102010507070707"/>
    <w:charset w:val="00"/>
    <w:family w:val="auto"/>
    <w:pitch w:val="default"/>
    <w:sig w:usb0="00000000" w:usb1="00000000" w:usb2="00000000" w:usb3="00000000" w:csb0="80000000" w:csb1="00000000"/>
  </w:font>
  <w:font w:name="WPSEMBED3">
    <w:panose1 w:val="02010600010101010101"/>
    <w:charset w:val="86"/>
    <w:family w:val="auto"/>
    <w:pitch w:val="default"/>
    <w:sig w:usb0="00000001" w:usb1="080E0000" w:usb2="00000000" w:usb3="00000000" w:csb0="00040000" w:csb1="00000000"/>
  </w:font>
  <w:font w:name="WPSEMBED4">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1"/>
      <w:jc w:val="center"/>
      <w:rPr>
        <w:rStyle w:val="21"/>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p w14:paraId="5AE7A01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2"/>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760F9"/>
    <w:multiLevelType w:val="singleLevel"/>
    <w:tmpl w:val="9CE760F9"/>
    <w:lvl w:ilvl="0" w:tentative="0">
      <w:start w:val="2"/>
      <w:numFmt w:val="chineseCounting"/>
      <w:suff w:val="nothing"/>
      <w:lvlText w:val="（%1）"/>
      <w:lvlJc w:val="left"/>
      <w:rPr>
        <w:rFonts w:hint="eastAsia"/>
      </w:rPr>
    </w:lvl>
  </w:abstractNum>
  <w:abstractNum w:abstractNumId="1">
    <w:nsid w:val="C2FF3313"/>
    <w:multiLevelType w:val="singleLevel"/>
    <w:tmpl w:val="C2FF3313"/>
    <w:lvl w:ilvl="0" w:tentative="0">
      <w:start w:val="3"/>
      <w:numFmt w:val="chineseCounting"/>
      <w:suff w:val="space"/>
      <w:lvlText w:val="（%1）"/>
      <w:lvlJc w:val="left"/>
      <w:rPr>
        <w:rFonts w:hint="eastAsia"/>
      </w:rPr>
    </w:lvl>
  </w:abstractNum>
  <w:abstractNum w:abstractNumId="2">
    <w:nsid w:val="C62602BC"/>
    <w:multiLevelType w:val="multilevel"/>
    <w:tmpl w:val="C62602BC"/>
    <w:lvl w:ilvl="0" w:tentative="0">
      <w:start w:val="1"/>
      <w:numFmt w:val="decimal"/>
      <w:lvlText w:val="%1."/>
      <w:lvlJc w:val="left"/>
      <w:pPr>
        <w:ind w:left="425" w:hanging="425"/>
      </w:pPr>
      <w:rPr>
        <w:rFonts w:hint="eastAsia" w:ascii="宋体" w:hAnsi="宋体" w:eastAsia="宋体" w:cs="宋体"/>
        <w:b w:val="0"/>
        <w:i w:val="0"/>
        <w:iCs/>
        <w:color w:val="auto"/>
      </w:rPr>
    </w:lvl>
    <w:lvl w:ilvl="1" w:tentative="0">
      <w:start w:val="1"/>
      <w:numFmt w:val="decimal"/>
      <w:lvlText w:val="%1.%2."/>
      <w:lvlJc w:val="left"/>
      <w:pPr>
        <w:ind w:left="567" w:hanging="567"/>
      </w:pPr>
      <w:rPr>
        <w:rFonts w:ascii="宋体" w:hAnsi="宋体" w:eastAsia="宋体"/>
        <w:b w:val="0"/>
        <w:strike w:val="0"/>
        <w:dstrike w:val="0"/>
        <w:sz w:val="21"/>
        <w:szCs w:val="21"/>
        <w:u w:val="none"/>
      </w:rPr>
    </w:lvl>
    <w:lvl w:ilvl="2" w:tentative="0">
      <w:start w:val="1"/>
      <w:numFmt w:val="decimal"/>
      <w:lvlText w:val="%1.%2.%3."/>
      <w:lvlJc w:val="left"/>
      <w:pPr>
        <w:ind w:left="709" w:hanging="709"/>
      </w:pPr>
      <w:rPr>
        <w:rFonts w:ascii="宋体" w:hAnsi="宋体" w:eastAsia="宋体"/>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5" w:hanging="1135"/>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D6D61694"/>
    <w:multiLevelType w:val="singleLevel"/>
    <w:tmpl w:val="D6D61694"/>
    <w:lvl w:ilvl="0" w:tentative="0">
      <w:start w:val="1"/>
      <w:numFmt w:val="chineseCounting"/>
      <w:suff w:val="nothing"/>
      <w:lvlText w:val="（%1）"/>
      <w:lvlJc w:val="left"/>
      <w:rPr>
        <w:rFonts w:hint="eastAsia"/>
      </w:rPr>
    </w:lvl>
  </w:abstractNum>
  <w:abstractNum w:abstractNumId="4">
    <w:nsid w:val="0B8F3126"/>
    <w:multiLevelType w:val="singleLevel"/>
    <w:tmpl w:val="0B8F3126"/>
    <w:lvl w:ilvl="0" w:tentative="0">
      <w:start w:val="3"/>
      <w:numFmt w:val="chineseCounting"/>
      <w:suff w:val="nothing"/>
      <w:lvlText w:val="%1、"/>
      <w:lvlJc w:val="left"/>
      <w:rPr>
        <w:rFonts w:hint="eastAsia"/>
      </w:rPr>
    </w:lvl>
  </w:abstractNum>
  <w:abstractNum w:abstractNumId="5">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7E85C6F"/>
    <w:multiLevelType w:val="singleLevel"/>
    <w:tmpl w:val="37E85C6F"/>
    <w:lvl w:ilvl="0" w:tentative="0">
      <w:start w:val="1"/>
      <w:numFmt w:val="decimal"/>
      <w:lvlText w:val="%1."/>
      <w:lvlJc w:val="left"/>
      <w:pPr>
        <w:tabs>
          <w:tab w:val="left" w:pos="312"/>
        </w:tabs>
      </w:pPr>
    </w:lvl>
  </w:abstractNum>
  <w:abstractNum w:abstractNumId="7">
    <w:nsid w:val="40EC10D5"/>
    <w:multiLevelType w:val="singleLevel"/>
    <w:tmpl w:val="40EC10D5"/>
    <w:lvl w:ilvl="0" w:tentative="0">
      <w:start w:val="1"/>
      <w:numFmt w:val="chineseCounting"/>
      <w:suff w:val="space"/>
      <w:lvlText w:val="第%1章"/>
      <w:lvlJc w:val="left"/>
      <w:rPr>
        <w:rFonts w:hint="eastAsia"/>
      </w:rPr>
    </w:lvl>
  </w:abstractNum>
  <w:abstractNum w:abstractNumId="8">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0">
    <w:nsid w:val="507A66DD"/>
    <w:multiLevelType w:val="singleLevel"/>
    <w:tmpl w:val="507A66DD"/>
    <w:lvl w:ilvl="0" w:tentative="0">
      <w:start w:val="5"/>
      <w:numFmt w:val="chineseCounting"/>
      <w:suff w:val="nothing"/>
      <w:lvlText w:val="%1、"/>
      <w:lvlJc w:val="left"/>
      <w:rPr>
        <w:rFonts w:hint="eastAsia"/>
      </w:rPr>
    </w:lvl>
  </w:abstractNum>
  <w:abstractNum w:abstractNumId="11">
    <w:nsid w:val="50FB4E67"/>
    <w:multiLevelType w:val="singleLevel"/>
    <w:tmpl w:val="50FB4E67"/>
    <w:lvl w:ilvl="0" w:tentative="0">
      <w:start w:val="1"/>
      <w:numFmt w:val="decimal"/>
      <w:suff w:val="space"/>
      <w:lvlText w:val="%1."/>
      <w:lvlJc w:val="left"/>
    </w:lvl>
  </w:abstractNum>
  <w:abstractNum w:abstractNumId="12">
    <w:nsid w:val="59215DE2"/>
    <w:multiLevelType w:val="singleLevel"/>
    <w:tmpl w:val="59215DE2"/>
    <w:lvl w:ilvl="0" w:tentative="0">
      <w:start w:val="2"/>
      <w:numFmt w:val="decimal"/>
      <w:suff w:val="nothing"/>
      <w:lvlText w:val="（%1）"/>
      <w:lvlJc w:val="left"/>
    </w:lvl>
  </w:abstractNum>
  <w:abstractNum w:abstractNumId="13">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4">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0FD0FAC"/>
    <w:multiLevelType w:val="singleLevel"/>
    <w:tmpl w:val="70FD0FAC"/>
    <w:lvl w:ilvl="0" w:tentative="0">
      <w:start w:val="5"/>
      <w:numFmt w:val="chineseCounting"/>
      <w:suff w:val="space"/>
      <w:lvlText w:val="第%1章"/>
      <w:lvlJc w:val="left"/>
      <w:rPr>
        <w:rFonts w:hint="eastAsia"/>
      </w:rPr>
    </w:lvl>
  </w:abstractNum>
  <w:abstractNum w:abstractNumId="17">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12"/>
  </w:num>
  <w:num w:numId="5">
    <w:abstractNumId w:val="4"/>
  </w:num>
  <w:num w:numId="6">
    <w:abstractNumId w:val="10"/>
  </w:num>
  <w:num w:numId="7">
    <w:abstractNumId w:val="8"/>
  </w:num>
  <w:num w:numId="8">
    <w:abstractNumId w:val="5"/>
  </w:num>
  <w:num w:numId="9">
    <w:abstractNumId w:val="6"/>
  </w:num>
  <w:num w:numId="10">
    <w:abstractNumId w:val="15"/>
  </w:num>
  <w:num w:numId="11">
    <w:abstractNumId w:val="1"/>
  </w:num>
  <w:num w:numId="12">
    <w:abstractNumId w:val="11"/>
  </w:num>
  <w:num w:numId="13">
    <w:abstractNumId w:val="3"/>
  </w:num>
  <w:num w:numId="14">
    <w:abstractNumId w:val="9"/>
  </w:num>
  <w:num w:numId="15">
    <w:abstractNumId w:val="18"/>
  </w:num>
  <w:num w:numId="16">
    <w:abstractNumId w:val="13"/>
  </w:num>
  <w:num w:numId="17">
    <w:abstractNumId w:val="16"/>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MjU3MzUxZDg0ZWEyMTlhMTg5ZjBhNDE4Njg1NGI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9E6770"/>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1A10A62"/>
    <w:rsid w:val="01FD42EF"/>
    <w:rsid w:val="02515E13"/>
    <w:rsid w:val="03824295"/>
    <w:rsid w:val="03CA1333"/>
    <w:rsid w:val="03D86CBB"/>
    <w:rsid w:val="04A41E29"/>
    <w:rsid w:val="0586171E"/>
    <w:rsid w:val="062A1835"/>
    <w:rsid w:val="0C831895"/>
    <w:rsid w:val="0E1B2C35"/>
    <w:rsid w:val="0F847DFE"/>
    <w:rsid w:val="10437371"/>
    <w:rsid w:val="13272F7A"/>
    <w:rsid w:val="13CA0FD2"/>
    <w:rsid w:val="14DA7639"/>
    <w:rsid w:val="167968A8"/>
    <w:rsid w:val="168261AD"/>
    <w:rsid w:val="1A0F0637"/>
    <w:rsid w:val="1AC75CBA"/>
    <w:rsid w:val="1ACD08AB"/>
    <w:rsid w:val="1D740F3F"/>
    <w:rsid w:val="1EA731C1"/>
    <w:rsid w:val="1FC04AB6"/>
    <w:rsid w:val="20573F48"/>
    <w:rsid w:val="20857E4D"/>
    <w:rsid w:val="2110276B"/>
    <w:rsid w:val="211E3962"/>
    <w:rsid w:val="217A1947"/>
    <w:rsid w:val="21BA145D"/>
    <w:rsid w:val="22DA20BB"/>
    <w:rsid w:val="24CC6443"/>
    <w:rsid w:val="27A32756"/>
    <w:rsid w:val="28774BB2"/>
    <w:rsid w:val="292F0982"/>
    <w:rsid w:val="2AD85138"/>
    <w:rsid w:val="2BC25ADE"/>
    <w:rsid w:val="2BEF1BE2"/>
    <w:rsid w:val="2C2F1E92"/>
    <w:rsid w:val="2CAA6F1D"/>
    <w:rsid w:val="2E063599"/>
    <w:rsid w:val="2F746B39"/>
    <w:rsid w:val="2FEF24C1"/>
    <w:rsid w:val="30533F30"/>
    <w:rsid w:val="30F64EFB"/>
    <w:rsid w:val="32A7178F"/>
    <w:rsid w:val="348C0A37"/>
    <w:rsid w:val="34D04DC8"/>
    <w:rsid w:val="34D95BA1"/>
    <w:rsid w:val="362C1DF6"/>
    <w:rsid w:val="36F16FEE"/>
    <w:rsid w:val="37436ACA"/>
    <w:rsid w:val="38312021"/>
    <w:rsid w:val="38404012"/>
    <w:rsid w:val="38BD7C08"/>
    <w:rsid w:val="393712EB"/>
    <w:rsid w:val="3A4F4F44"/>
    <w:rsid w:val="3ADB6274"/>
    <w:rsid w:val="3CC20B68"/>
    <w:rsid w:val="3CFF2687"/>
    <w:rsid w:val="3D691D61"/>
    <w:rsid w:val="3FF83425"/>
    <w:rsid w:val="41894625"/>
    <w:rsid w:val="42961172"/>
    <w:rsid w:val="42A15057"/>
    <w:rsid w:val="44B33DBE"/>
    <w:rsid w:val="44ED4447"/>
    <w:rsid w:val="46062A6F"/>
    <w:rsid w:val="466C27DB"/>
    <w:rsid w:val="466F1003"/>
    <w:rsid w:val="46E84D7E"/>
    <w:rsid w:val="474D4A8F"/>
    <w:rsid w:val="47507FEA"/>
    <w:rsid w:val="48BB1493"/>
    <w:rsid w:val="49871B07"/>
    <w:rsid w:val="49BE56DF"/>
    <w:rsid w:val="4A01054C"/>
    <w:rsid w:val="4A0517DE"/>
    <w:rsid w:val="4CB9218D"/>
    <w:rsid w:val="4DAD7DEB"/>
    <w:rsid w:val="4E8100AD"/>
    <w:rsid w:val="4E8E5256"/>
    <w:rsid w:val="4F0F12CA"/>
    <w:rsid w:val="4F560168"/>
    <w:rsid w:val="511864D9"/>
    <w:rsid w:val="51D63AF4"/>
    <w:rsid w:val="52104D2C"/>
    <w:rsid w:val="521F3077"/>
    <w:rsid w:val="558214CD"/>
    <w:rsid w:val="56E36785"/>
    <w:rsid w:val="580B4B95"/>
    <w:rsid w:val="58AF7528"/>
    <w:rsid w:val="58C53577"/>
    <w:rsid w:val="5A2F6381"/>
    <w:rsid w:val="5B4A22D1"/>
    <w:rsid w:val="5BC7458E"/>
    <w:rsid w:val="5CAC08DD"/>
    <w:rsid w:val="5CEC7157"/>
    <w:rsid w:val="5D045FFD"/>
    <w:rsid w:val="5DAD56C0"/>
    <w:rsid w:val="5F630463"/>
    <w:rsid w:val="618A14CD"/>
    <w:rsid w:val="63016A4E"/>
    <w:rsid w:val="65265113"/>
    <w:rsid w:val="65E57895"/>
    <w:rsid w:val="6602326A"/>
    <w:rsid w:val="68A23D9A"/>
    <w:rsid w:val="69E7776E"/>
    <w:rsid w:val="6A331379"/>
    <w:rsid w:val="6AA14535"/>
    <w:rsid w:val="6ACC2680"/>
    <w:rsid w:val="6B6A0563"/>
    <w:rsid w:val="6B80006E"/>
    <w:rsid w:val="6BB74550"/>
    <w:rsid w:val="6CF30DA6"/>
    <w:rsid w:val="6D3C7196"/>
    <w:rsid w:val="6DD15131"/>
    <w:rsid w:val="70A24B63"/>
    <w:rsid w:val="72AC65F9"/>
    <w:rsid w:val="72AF5315"/>
    <w:rsid w:val="730B15A2"/>
    <w:rsid w:val="74055651"/>
    <w:rsid w:val="75EF3075"/>
    <w:rsid w:val="774A4416"/>
    <w:rsid w:val="79B06BCF"/>
    <w:rsid w:val="79B17029"/>
    <w:rsid w:val="7B49325B"/>
    <w:rsid w:val="7BFC15FE"/>
    <w:rsid w:val="7C4E5B9F"/>
    <w:rsid w:val="7E3B5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outlineLvl w:val="1"/>
    </w:pPr>
    <w:rPr>
      <w:rFonts w:ascii="Cambria" w:hAnsi="Cambria" w:cs="宋体"/>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widowControl w:val="0"/>
      <w:ind w:firstLine="420"/>
    </w:pPr>
    <w:rPr>
      <w:rFonts w:ascii="Times New Roman" w:hAnsi="Times New Roman" w:eastAsia="宋体" w:cs="Times New Roman"/>
      <w:kern w:val="2"/>
      <w:sz w:val="21"/>
      <w:szCs w:val="24"/>
      <w:lang w:val="en-US" w:eastAsia="zh-CN" w:bidi="ar-SA"/>
    </w:rPr>
  </w:style>
  <w:style w:type="paragraph" w:styleId="6">
    <w:name w:val="Body Text"/>
    <w:basedOn w:val="1"/>
    <w:next w:val="1"/>
    <w:qFormat/>
    <w:uiPriority w:val="0"/>
    <w:pPr>
      <w:spacing w:after="120"/>
    </w:pPr>
  </w:style>
  <w:style w:type="paragraph" w:styleId="7">
    <w:name w:val="annotation text"/>
    <w:basedOn w:val="1"/>
    <w:qFormat/>
    <w:uiPriority w:val="0"/>
    <w:pPr>
      <w:jc w:val="left"/>
    </w:pPr>
  </w:style>
  <w:style w:type="paragraph" w:styleId="8">
    <w:name w:val="Body Text Indent"/>
    <w:basedOn w:val="1"/>
    <w:qFormat/>
    <w:uiPriority w:val="0"/>
    <w:pPr>
      <w:spacing w:line="560" w:lineRule="exact"/>
      <w:ind w:left="300"/>
    </w:pPr>
    <w:rPr>
      <w:sz w:val="24"/>
    </w:rPr>
  </w:style>
  <w:style w:type="paragraph" w:styleId="9">
    <w:name w:val="toc 3"/>
    <w:basedOn w:val="1"/>
    <w:next w:val="1"/>
    <w:semiHidden/>
    <w:unhideWhenUsed/>
    <w:qFormat/>
    <w:uiPriority w:val="39"/>
    <w:pPr>
      <w:ind w:left="840" w:leftChars="400"/>
    </w:pPr>
  </w:style>
  <w:style w:type="paragraph" w:styleId="10">
    <w:name w:val="Plain Text"/>
    <w:basedOn w:val="1"/>
    <w:link w:val="25"/>
    <w:semiHidden/>
    <w:unhideWhenUsed/>
    <w:qFormat/>
    <w:uiPriority w:val="99"/>
    <w:rPr>
      <w:rFonts w:ascii="宋体" w:hAnsi="Courier New" w:eastAsia="宋体" w:cs="Times New Roman"/>
      <w:szCs w:val="20"/>
    </w:rPr>
  </w:style>
  <w:style w:type="paragraph" w:styleId="11">
    <w:name w:val="footer"/>
    <w:basedOn w:val="1"/>
    <w:link w:val="24"/>
    <w:semiHidden/>
    <w:unhideWhenUsed/>
    <w:qFormat/>
    <w:uiPriority w:val="99"/>
    <w:pPr>
      <w:tabs>
        <w:tab w:val="center" w:pos="4153"/>
        <w:tab w:val="right" w:pos="8306"/>
      </w:tabs>
      <w:snapToGrid w:val="0"/>
      <w:jc w:val="left"/>
    </w:pPr>
    <w:rPr>
      <w:sz w:val="18"/>
      <w:szCs w:val="18"/>
    </w:rPr>
  </w:style>
  <w:style w:type="paragraph" w:styleId="12">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nhideWhenUsed/>
    <w:qFormat/>
    <w:uiPriority w:val="39"/>
  </w:style>
  <w:style w:type="paragraph" w:styleId="14">
    <w:name w:val="toc 2"/>
    <w:basedOn w:val="1"/>
    <w:next w:val="1"/>
    <w:semiHidden/>
    <w:unhideWhenUsed/>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firstLineChars="200"/>
    </w:pPr>
    <w:rPr>
      <w:sz w:val="21"/>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Emphasis"/>
    <w:basedOn w:val="19"/>
    <w:qFormat/>
    <w:uiPriority w:val="0"/>
    <w:rPr>
      <w:i/>
      <w:iCs/>
    </w:rPr>
  </w:style>
  <w:style w:type="character" w:customStyle="1" w:styleId="23">
    <w:name w:val="页眉 Char"/>
    <w:basedOn w:val="19"/>
    <w:link w:val="12"/>
    <w:autoRedefine/>
    <w:semiHidden/>
    <w:qFormat/>
    <w:uiPriority w:val="99"/>
    <w:rPr>
      <w:sz w:val="18"/>
      <w:szCs w:val="18"/>
    </w:rPr>
  </w:style>
  <w:style w:type="character" w:customStyle="1" w:styleId="24">
    <w:name w:val="页脚 Char"/>
    <w:basedOn w:val="19"/>
    <w:link w:val="11"/>
    <w:semiHidden/>
    <w:qFormat/>
    <w:uiPriority w:val="99"/>
    <w:rPr>
      <w:sz w:val="18"/>
      <w:szCs w:val="18"/>
    </w:rPr>
  </w:style>
  <w:style w:type="character" w:customStyle="1" w:styleId="25">
    <w:name w:val="纯文本 Char"/>
    <w:basedOn w:val="19"/>
    <w:link w:val="10"/>
    <w:semiHidden/>
    <w:qFormat/>
    <w:uiPriority w:val="99"/>
    <w:rPr>
      <w:rFonts w:ascii="宋体" w:hAnsi="Courier New" w:eastAsia="宋体" w:cs="Times New Roman"/>
      <w:szCs w:val="20"/>
    </w:rPr>
  </w:style>
  <w:style w:type="character" w:customStyle="1" w:styleId="26">
    <w:name w:val="font11"/>
    <w:basedOn w:val="19"/>
    <w:qFormat/>
    <w:uiPriority w:val="0"/>
    <w:rPr>
      <w:rFonts w:hint="eastAsia" w:ascii="宋体" w:hAnsi="宋体" w:eastAsia="宋体" w:cs="宋体"/>
      <w:color w:val="000000"/>
      <w:sz w:val="30"/>
      <w:szCs w:val="30"/>
      <w:u w:val="none"/>
    </w:rPr>
  </w:style>
  <w:style w:type="paragraph" w:styleId="27">
    <w:name w:val="List Paragraph"/>
    <w:basedOn w:val="1"/>
    <w:autoRedefine/>
    <w:qFormat/>
    <w:uiPriority w:val="34"/>
    <w:pPr>
      <w:ind w:firstLine="420" w:firstLineChars="200"/>
    </w:pPr>
    <w:rPr>
      <w:rFonts w:ascii="Calibri" w:hAnsi="Calibri"/>
      <w:szCs w:val="22"/>
    </w:rPr>
  </w:style>
  <w:style w:type="table" w:customStyle="1" w:styleId="28">
    <w:name w:val="网格型1"/>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
    <w:name w:val="列出段落1"/>
    <w:basedOn w:val="1"/>
    <w:autoRedefine/>
    <w:qFormat/>
    <w:uiPriority w:val="34"/>
    <w:pPr>
      <w:ind w:firstLine="420" w:firstLineChars="200"/>
    </w:pPr>
  </w:style>
  <w:style w:type="paragraph" w:customStyle="1" w:styleId="31">
    <w:name w:val="样式1 Char Char"/>
    <w:basedOn w:val="1"/>
    <w:next w:val="10"/>
    <w:qFormat/>
    <w:uiPriority w:val="0"/>
    <w:pPr>
      <w:spacing w:line="360" w:lineRule="auto"/>
      <w:ind w:firstLine="516" w:firstLineChars="215"/>
    </w:pPr>
    <w:rPr>
      <w:sz w:val="24"/>
    </w:rPr>
  </w:style>
  <w:style w:type="paragraph" w:customStyle="1" w:styleId="32">
    <w:name w:val="文档正文"/>
    <w:qFormat/>
    <w:uiPriority w:val="99"/>
    <w:pPr>
      <w:widowControl w:val="0"/>
      <w:adjustRightInd w:val="0"/>
      <w:spacing w:line="480" w:lineRule="atLeast"/>
      <w:ind w:firstLine="567" w:firstLineChars="200"/>
      <w:textAlignment w:val="baseline"/>
    </w:pPr>
    <w:rPr>
      <w:rFonts w:ascii="长城仿宋" w:hAnsi="Times New Roman" w:eastAsia="宋体" w:cs="Times New Roman"/>
      <w:sz w:val="21"/>
      <w:lang w:val="en-US" w:eastAsia="zh-CN" w:bidi="ar-SA"/>
    </w:rPr>
  </w:style>
  <w:style w:type="character" w:customStyle="1" w:styleId="33">
    <w:name w:val="font21"/>
    <w:basedOn w:val="19"/>
    <w:qFormat/>
    <w:uiPriority w:val="0"/>
    <w:rPr>
      <w:rFonts w:hint="eastAsia" w:ascii="宋体" w:hAnsi="宋体" w:eastAsia="宋体" w:cs="宋体"/>
      <w:color w:val="000000"/>
      <w:sz w:val="20"/>
      <w:szCs w:val="20"/>
      <w:u w:val="none"/>
    </w:rPr>
  </w:style>
  <w:style w:type="character" w:customStyle="1" w:styleId="34">
    <w:name w:val="font31"/>
    <w:basedOn w:val="19"/>
    <w:qFormat/>
    <w:uiPriority w:val="0"/>
    <w:rPr>
      <w:rFonts w:ascii="Tahoma" w:hAnsi="Tahoma" w:eastAsia="Tahoma" w:cs="Tahoma"/>
      <w:color w:val="000000"/>
      <w:sz w:val="20"/>
      <w:szCs w:val="20"/>
      <w:u w:val="none"/>
    </w:rPr>
  </w:style>
  <w:style w:type="paragraph" w:customStyle="1" w:styleId="35">
    <w:name w:val="*正文"/>
    <w:basedOn w:val="1"/>
    <w:qFormat/>
    <w:uiPriority w:val="0"/>
    <w:pPr>
      <w:spacing w:line="360" w:lineRule="auto"/>
      <w:ind w:firstLine="200" w:firstLineChars="200"/>
    </w:pPr>
    <w:rPr>
      <w:rFonts w:ascii="宋体" w:hAnsi="宋体"/>
      <w:kern w:val="0"/>
      <w:sz w:val="2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90</Pages>
  <Words>49405</Words>
  <Characters>51572</Characters>
  <Lines>31</Lines>
  <Paragraphs>8</Paragraphs>
  <TotalTime>0</TotalTime>
  <ScaleCrop>false</ScaleCrop>
  <LinksUpToDate>false</LinksUpToDate>
  <CharactersWithSpaces>54147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尐安逸丶</cp:lastModifiedBy>
  <dcterms:modified xsi:type="dcterms:W3CDTF">2026-01-28T08:19:18Z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A408D59368A34E398F2288052BBEA87F_13</vt:lpwstr>
  </property>
  <property fmtid="{D5CDD505-2E9C-101B-9397-08002B2CF9AE}" pid="4" name="KSOTemplateDocerSaveRecord">
    <vt:lpwstr>eyJoZGlkIjoiYTJjOGY5YmVkMjBhOTE5YzE5MDI0ZmRmYWY2NTVjNzIiLCJ1c2VySWQiOiI1NjY5NTg3NTMifQ==</vt:lpwstr>
  </property>
</Properties>
</file>