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（含谈判文件）</w:t>
      </w:r>
    </w:p>
    <w:p w14:paraId="7BD398E4">
      <w:pPr>
        <w:jc w:val="center"/>
        <w:rPr>
          <w:rFonts w:asciiTheme="minorEastAsia" w:hAnsiTheme="minorEastAsia" w:cstheme="minorEastAsia"/>
          <w:b/>
          <w:bCs/>
          <w:sz w:val="24"/>
          <w:szCs w:val="24"/>
        </w:rPr>
      </w:pPr>
    </w:p>
    <w:p w14:paraId="31C454CB">
      <w:pPr>
        <w:keepNext w:val="0"/>
        <w:keepLines w:val="0"/>
        <w:widowControl w:val="0"/>
        <w:suppressLineNumbers w:val="0"/>
        <w:autoSpaceDE w:val="0"/>
        <w:autoSpaceDN/>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1、深圳市福田区第二人民医院对本单位部分医用耗材进行单一来源采购。欢迎各经营企业或生产企业参加投标。 </w:t>
      </w:r>
    </w:p>
    <w:p w14:paraId="62D595AE">
      <w:pPr>
        <w:keepNext w:val="0"/>
        <w:keepLines w:val="0"/>
        <w:widowControl w:val="0"/>
        <w:suppressLineNumbers w:val="0"/>
        <w:autoSpaceDE w:val="0"/>
        <w:autoSpaceDN/>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2、供应商可根据自身的经营情况，选择投一个或多个采购条目，但不允许将一个采购条目流水</w:t>
      </w:r>
      <w:r>
        <w:rPr>
          <w:rFonts w:hint="eastAsia" w:ascii="宋体" w:hAnsi="宋体" w:eastAsia="宋体" w:cs="宋体"/>
          <w:color w:val="000000"/>
          <w:kern w:val="2"/>
          <w:sz w:val="28"/>
          <w:szCs w:val="28"/>
          <w:lang w:val="en-US" w:eastAsia="zh-CN" w:bidi="ar"/>
        </w:rPr>
        <w:t>号的内容拆散投标</w:t>
      </w:r>
      <w:r>
        <w:rPr>
          <w:rFonts w:hint="eastAsia" w:ascii="宋体" w:hAnsi="宋体" w:eastAsia="宋体" w:cs="宋体"/>
          <w:kern w:val="2"/>
          <w:sz w:val="28"/>
          <w:szCs w:val="28"/>
          <w:lang w:val="en-US" w:eastAsia="zh-CN" w:bidi="ar"/>
        </w:rPr>
        <w:t>。</w:t>
      </w:r>
      <w:r>
        <w:rPr>
          <w:rFonts w:hint="eastAsia" w:ascii="宋体" w:hAnsi="宋体" w:eastAsia="宋体" w:cs="宋体"/>
          <w:b/>
          <w:bCs/>
          <w:kern w:val="2"/>
          <w:sz w:val="28"/>
          <w:szCs w:val="28"/>
          <w:lang w:val="en-US" w:eastAsia="zh-CN" w:bidi="ar"/>
        </w:rPr>
        <w:t>请准备投标文件四份</w:t>
      </w:r>
      <w:r>
        <w:rPr>
          <w:rFonts w:hint="eastAsia" w:ascii="宋体" w:hAnsi="宋体" w:eastAsia="宋体" w:cs="宋体"/>
          <w:kern w:val="2"/>
          <w:sz w:val="28"/>
          <w:szCs w:val="28"/>
          <w:lang w:val="en-US" w:eastAsia="zh-CN" w:bidi="ar"/>
        </w:rPr>
        <w:t>（</w:t>
      </w:r>
      <w:r>
        <w:rPr>
          <w:rFonts w:hint="eastAsia" w:ascii="宋体" w:hAnsi="宋体" w:eastAsia="宋体" w:cs="宋体"/>
          <w:color w:val="FF0000"/>
          <w:kern w:val="2"/>
          <w:sz w:val="28"/>
          <w:szCs w:val="28"/>
          <w:lang w:val="en-US" w:eastAsia="zh-CN" w:bidi="ar"/>
        </w:rPr>
        <w:t>一份正本三份副本，开标一览表需单独密封，电子文件拷贝到U盘存放于开标一览表密封袋内。</w:t>
      </w:r>
      <w:r>
        <w:rPr>
          <w:rFonts w:hint="eastAsia" w:ascii="宋体" w:hAnsi="宋体" w:eastAsia="宋体" w:cs="宋体"/>
          <w:kern w:val="2"/>
          <w:sz w:val="28"/>
          <w:szCs w:val="28"/>
          <w:lang w:val="en-US" w:eastAsia="zh-CN" w:bidi="ar"/>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谈判文件要求签署并加盖公章。）</w:t>
      </w:r>
    </w:p>
    <w:p w14:paraId="22E937E4">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3、企业参加投标，即表示接受本次谈判的各项要求。 </w:t>
      </w:r>
    </w:p>
    <w:p w14:paraId="080FA326">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4、谈判活动的最终解释权属于深圳市福田区第二人民医院。 </w:t>
      </w: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61849867">
      <w:pPr>
        <w:jc w:val="both"/>
        <w:outlineLvl w:val="9"/>
        <w:rPr>
          <w:rFonts w:hint="eastAsia" w:ascii="宋体" w:hAnsi="宋体" w:eastAsia="宋体" w:cs="宋体"/>
          <w:b/>
          <w:bCs/>
          <w:color w:val="FF0000"/>
          <w:kern w:val="44"/>
          <w:sz w:val="44"/>
          <w:szCs w:val="44"/>
          <w:highlight w:val="none"/>
          <w:lang w:eastAsia="zh-CN"/>
        </w:rPr>
      </w:pPr>
    </w:p>
    <w:p w14:paraId="6FBED514">
      <w:pPr>
        <w:jc w:val="both"/>
        <w:outlineLvl w:val="9"/>
        <w:rPr>
          <w:rFonts w:hint="eastAsia" w:ascii="宋体" w:hAnsi="宋体" w:eastAsia="宋体" w:cs="宋体"/>
          <w:b/>
          <w:bCs/>
          <w:color w:val="FF0000"/>
          <w:kern w:val="44"/>
          <w:sz w:val="44"/>
          <w:szCs w:val="44"/>
          <w:highlight w:val="none"/>
          <w:lang w:eastAsia="zh-CN"/>
        </w:rPr>
      </w:pPr>
    </w:p>
    <w:p w14:paraId="731069E5">
      <w:pPr>
        <w:jc w:val="both"/>
        <w:outlineLvl w:val="9"/>
        <w:rPr>
          <w:rFonts w:hint="eastAsia" w:ascii="宋体" w:hAnsi="宋体" w:eastAsia="宋体" w:cs="宋体"/>
          <w:b/>
          <w:bCs/>
          <w:color w:val="FF0000"/>
          <w:kern w:val="44"/>
          <w:sz w:val="44"/>
          <w:szCs w:val="44"/>
          <w:highlight w:val="none"/>
          <w:lang w:eastAsia="zh-CN"/>
        </w:rPr>
      </w:pPr>
    </w:p>
    <w:p w14:paraId="5AFBE37B">
      <w:pPr>
        <w:jc w:val="both"/>
        <w:outlineLvl w:val="9"/>
        <w:rPr>
          <w:rFonts w:hint="eastAsia" w:ascii="宋体" w:hAnsi="宋体" w:eastAsia="宋体" w:cs="宋体"/>
          <w:b/>
          <w:bCs/>
          <w:color w:val="FF0000"/>
          <w:kern w:val="44"/>
          <w:sz w:val="44"/>
          <w:szCs w:val="44"/>
          <w:highlight w:val="none"/>
          <w:lang w:eastAsia="zh-CN"/>
        </w:rPr>
      </w:pPr>
    </w:p>
    <w:p w14:paraId="44ACACBE">
      <w:pPr>
        <w:jc w:val="both"/>
        <w:outlineLvl w:val="9"/>
        <w:rPr>
          <w:rFonts w:hint="eastAsia" w:ascii="宋体" w:hAnsi="宋体" w:eastAsia="宋体" w:cs="宋体"/>
          <w:b/>
          <w:bCs/>
          <w:color w:val="FF0000"/>
          <w:kern w:val="44"/>
          <w:sz w:val="44"/>
          <w:szCs w:val="44"/>
          <w:highlight w:val="none"/>
          <w:lang w:eastAsia="zh-CN"/>
        </w:rPr>
      </w:pPr>
    </w:p>
    <w:p w14:paraId="1FBFDD91">
      <w:pPr>
        <w:jc w:val="both"/>
        <w:outlineLvl w:val="9"/>
        <w:rPr>
          <w:rFonts w:hint="eastAsia" w:ascii="宋体" w:hAnsi="宋体" w:eastAsia="宋体" w:cs="宋体"/>
          <w:b/>
          <w:bCs/>
          <w:color w:val="FF0000"/>
          <w:kern w:val="44"/>
          <w:sz w:val="44"/>
          <w:szCs w:val="44"/>
          <w:highlight w:val="none"/>
          <w:lang w:eastAsia="zh-CN"/>
        </w:rPr>
      </w:pPr>
    </w:p>
    <w:p w14:paraId="426302E2">
      <w:pPr>
        <w:jc w:val="both"/>
        <w:outlineLvl w:val="9"/>
        <w:rPr>
          <w:rFonts w:hint="eastAsia" w:ascii="宋体" w:hAnsi="宋体" w:eastAsia="宋体" w:cs="宋体"/>
          <w:b/>
          <w:bCs/>
          <w:color w:val="FF0000"/>
          <w:kern w:val="44"/>
          <w:sz w:val="44"/>
          <w:szCs w:val="44"/>
          <w:highlight w:val="none"/>
          <w:lang w:eastAsia="zh-CN"/>
        </w:rPr>
      </w:pPr>
    </w:p>
    <w:p w14:paraId="1638F651">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谈判</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bookmarkStart w:id="124" w:name="_GoBack"/>
          <w:bookmarkEnd w:id="124"/>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谈判公告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13</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19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53</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04E3E066">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谈判公告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1"/>
      <w:bookmarkStart w:id="4"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贝克曼DXI800化学发光分析仪检验耗材一批（二次）</w:t>
      </w:r>
      <w:r>
        <w:rPr>
          <w:rFonts w:hint="eastAsia" w:ascii="宋体" w:hAnsi="宋体"/>
          <w:szCs w:val="28"/>
          <w:lang w:eastAsia="zh-CN"/>
        </w:rPr>
        <w:t>谈判</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highlight w:val="none"/>
          <w:lang w:eastAsia="zh-CN"/>
        </w:rPr>
        <w:t>谈判文件</w:t>
      </w:r>
      <w:r>
        <w:rPr>
          <w:rFonts w:hint="eastAsia" w:ascii="宋体" w:hAnsi="宋体"/>
          <w:szCs w:val="28"/>
          <w:highlight w:val="none"/>
        </w:rPr>
        <w:t>，并于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2</w:t>
      </w:r>
      <w:r>
        <w:rPr>
          <w:rFonts w:hint="eastAsia" w:ascii="宋体" w:hAnsi="宋体"/>
          <w:bCs/>
          <w:szCs w:val="28"/>
          <w:highlight w:val="none"/>
          <w:u w:val="single"/>
        </w:rPr>
        <w:t>月</w:t>
      </w:r>
      <w:r>
        <w:rPr>
          <w:rFonts w:hint="eastAsia" w:ascii="宋体" w:hAnsi="宋体"/>
          <w:bCs/>
          <w:szCs w:val="28"/>
          <w:highlight w:val="none"/>
          <w:u w:val="single"/>
          <w:lang w:val="en-US" w:eastAsia="zh-CN"/>
        </w:rPr>
        <w:t>4</w:t>
      </w:r>
      <w:r>
        <w:rPr>
          <w:rFonts w:hint="eastAsia" w:ascii="宋体" w:hAnsi="宋体"/>
          <w:bCs/>
          <w:szCs w:val="28"/>
          <w:highlight w:val="none"/>
          <w:u w:val="single"/>
        </w:rPr>
        <w:t>日14点30分（</w:t>
      </w:r>
      <w:r>
        <w:rPr>
          <w:rFonts w:hint="eastAsia" w:ascii="宋体" w:hAnsi="宋体"/>
          <w:bCs/>
          <w:szCs w:val="28"/>
          <w:highlight w:val="none"/>
        </w:rPr>
        <w:t>北京时</w:t>
      </w:r>
      <w:r>
        <w:rPr>
          <w:rFonts w:hint="eastAsia" w:ascii="宋体" w:hAnsi="宋体"/>
          <w:bCs/>
          <w:szCs w:val="28"/>
        </w:rPr>
        <w:t>间）前递交投标</w:t>
      </w:r>
      <w:r>
        <w:rPr>
          <w:rFonts w:ascii="宋体" w:hAnsi="宋体"/>
          <w:bCs/>
          <w:szCs w:val="28"/>
        </w:rPr>
        <w:t>文件</w:t>
      </w:r>
      <w:r>
        <w:rPr>
          <w:rFonts w:hint="eastAsia" w:ascii="宋体" w:hAnsi="宋体"/>
          <w:szCs w:val="28"/>
        </w:rPr>
        <w:t>。</w:t>
      </w:r>
    </w:p>
    <w:p w14:paraId="75F49FC0">
      <w:pPr>
        <w:spacing w:line="360" w:lineRule="auto"/>
        <w:rPr>
          <w:rFonts w:hint="eastAsia" w:ascii="宋体" w:hAnsi="宋体"/>
        </w:rPr>
      </w:pPr>
      <w:bookmarkStart w:id="5"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FTEY-FYC-004A</w:t>
      </w:r>
    </w:p>
    <w:p w14:paraId="4C536290">
      <w:pPr>
        <w:spacing w:line="360" w:lineRule="auto"/>
        <w:ind w:firstLine="420" w:firstLineChars="200"/>
        <w:rPr>
          <w:rFonts w:ascii="宋体" w:hAnsi="宋体"/>
        </w:rPr>
      </w:pPr>
      <w:r>
        <w:rPr>
          <w:rFonts w:hint="eastAsia" w:ascii="宋体" w:hAnsi="宋体"/>
        </w:rPr>
        <w:t>项目名称：</w:t>
      </w:r>
      <w:r>
        <w:rPr>
          <w:rFonts w:hint="eastAsia" w:ascii="宋体" w:hAnsi="宋体"/>
          <w:szCs w:val="28"/>
          <w:u w:val="none"/>
          <w:lang w:val="en-US" w:eastAsia="zh-CN"/>
        </w:rPr>
        <w:t>贝克曼DXI800化学发光分析仪检验耗材一批（二次）</w:t>
      </w:r>
    </w:p>
    <w:p w14:paraId="6B8796DB">
      <w:pPr>
        <w:spacing w:line="360" w:lineRule="auto"/>
        <w:ind w:firstLine="420" w:firstLineChars="200"/>
        <w:rPr>
          <w:rFonts w:hint="eastAsia" w:ascii="宋体" w:hAnsi="宋体"/>
          <w:szCs w:val="21"/>
        </w:rPr>
      </w:pPr>
      <w:r>
        <w:rPr>
          <w:rFonts w:hint="eastAsia" w:ascii="宋体" w:hAnsi="宋体"/>
        </w:rPr>
        <w:t>预算金额（支付上限）：人民币壹拾玖万壹仟陆佰捌拾元整（¥191680.00元）</w:t>
      </w:r>
    </w:p>
    <w:p w14:paraId="24B35A0B">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采购方式：单一来源采购</w:t>
      </w:r>
    </w:p>
    <w:p w14:paraId="2FA96857">
      <w:pPr>
        <w:spacing w:line="360" w:lineRule="auto"/>
        <w:ind w:left="420" w:leftChars="200" w:firstLine="0" w:firstLineChars="0"/>
        <w:rPr>
          <w:rFonts w:hint="default" w:ascii="宋体" w:hAnsi="宋体"/>
          <w:szCs w:val="21"/>
          <w:lang w:val="en-US" w:eastAsia="zh-CN"/>
        </w:rPr>
      </w:pPr>
      <w:r>
        <w:rPr>
          <w:rFonts w:hint="default" w:ascii="宋体" w:hAnsi="宋体"/>
          <w:szCs w:val="21"/>
          <w:lang w:val="en-US" w:eastAsia="zh-CN"/>
        </w:rPr>
        <w:t>单一来源采购方式理由</w:t>
      </w:r>
      <w:r>
        <w:rPr>
          <w:rFonts w:hint="eastAsia" w:ascii="宋体" w:hAnsi="宋体"/>
          <w:szCs w:val="21"/>
          <w:lang w:val="en-US" w:eastAsia="zh-CN"/>
        </w:rPr>
        <w:t>：</w:t>
      </w:r>
      <w:r>
        <w:rPr>
          <w:rFonts w:hint="default" w:ascii="宋体" w:hAnsi="宋体"/>
          <w:szCs w:val="21"/>
          <w:lang w:val="en-US" w:eastAsia="zh-CN"/>
        </w:rPr>
        <w:t>《</w:t>
      </w:r>
      <w:r>
        <w:rPr>
          <w:rFonts w:hint="eastAsia" w:ascii="宋体" w:hAnsi="宋体"/>
          <w:szCs w:val="21"/>
          <w:lang w:val="en-US" w:eastAsia="zh-CN"/>
        </w:rPr>
        <w:t>中华人民共和国</w:t>
      </w:r>
      <w:r>
        <w:rPr>
          <w:rFonts w:hint="default" w:ascii="宋体" w:hAnsi="宋体"/>
          <w:szCs w:val="21"/>
          <w:lang w:val="en-US" w:eastAsia="zh-CN"/>
        </w:rPr>
        <w:t>政府采购法》第三十一条：必须保证原有采购项目一致性或者服务配套的要求</w:t>
      </w:r>
    </w:p>
    <w:p w14:paraId="53438E1E">
      <w:pPr>
        <w:spacing w:line="360" w:lineRule="auto"/>
        <w:ind w:firstLine="420" w:firstLineChars="200"/>
        <w:rPr>
          <w:rFonts w:hint="eastAsia" w:ascii="宋体" w:hAnsi="宋体" w:eastAsiaTheme="minorEastAsia"/>
          <w:u w:val="single"/>
          <w:lang w:eastAsia="zh-CN"/>
        </w:rPr>
      </w:pPr>
      <w:r>
        <w:rPr>
          <w:rFonts w:hint="eastAsia" w:ascii="宋体" w:hAnsi="宋体"/>
        </w:rPr>
        <w:t>采购需求：详见</w:t>
      </w:r>
      <w:r>
        <w:rPr>
          <w:rFonts w:hint="eastAsia" w:ascii="宋体" w:hAnsi="宋体"/>
          <w:lang w:eastAsia="zh-CN"/>
        </w:rPr>
        <w:t>谈判文件</w:t>
      </w:r>
    </w:p>
    <w:p w14:paraId="7CF96533">
      <w:pPr>
        <w:spacing w:line="360" w:lineRule="auto"/>
        <w:ind w:firstLine="420" w:firstLineChars="200"/>
        <w:rPr>
          <w:rFonts w:hint="eastAsia" w:ascii="宋体" w:hAnsi="宋体"/>
          <w:lang w:eastAsia="zh-CN"/>
        </w:rPr>
      </w:pPr>
      <w:r>
        <w:rPr>
          <w:rFonts w:hint="eastAsia" w:ascii="宋体" w:hAnsi="宋体"/>
        </w:rPr>
        <w:t>合同履行期限：详见</w:t>
      </w:r>
      <w:r>
        <w:rPr>
          <w:rFonts w:hint="eastAsia" w:ascii="宋体" w:hAnsi="宋体"/>
          <w:lang w:eastAsia="zh-CN"/>
        </w:rPr>
        <w:t>谈判文件</w:t>
      </w:r>
    </w:p>
    <w:p w14:paraId="0EA90B9A">
      <w:pPr>
        <w:spacing w:line="360" w:lineRule="auto"/>
        <w:ind w:firstLine="420" w:firstLineChars="200"/>
        <w:rPr>
          <w:rFonts w:hint="eastAsia" w:ascii="宋体" w:hAnsi="宋体"/>
        </w:rPr>
      </w:pPr>
      <w:r>
        <w:rPr>
          <w:rFonts w:hint="eastAsia" w:ascii="宋体" w:hAnsi="宋体"/>
        </w:rPr>
        <w:t>本项目不接受联合体投标</w:t>
      </w:r>
    </w:p>
    <w:p w14:paraId="119088AC">
      <w:pPr>
        <w:spacing w:line="360" w:lineRule="auto"/>
        <w:ind w:firstLine="420" w:firstLineChars="200"/>
        <w:rPr>
          <w:rFonts w:hint="eastAsia" w:ascii="宋体" w:hAnsi="宋体"/>
          <w:lang w:val="en-US" w:eastAsia="zh-CN"/>
        </w:rPr>
      </w:pPr>
      <w:r>
        <w:rPr>
          <w:rFonts w:hint="eastAsia" w:ascii="宋体" w:hAnsi="宋体"/>
          <w:lang w:val="en-US" w:eastAsia="zh-CN"/>
        </w:rPr>
        <w:t>拟定的唯一供应商名称、地址：</w:t>
      </w:r>
    </w:p>
    <w:p w14:paraId="62D709E6">
      <w:pPr>
        <w:spacing w:line="360" w:lineRule="auto"/>
        <w:ind w:firstLine="420" w:firstLineChars="200"/>
        <w:rPr>
          <w:rFonts w:hint="eastAsia" w:ascii="宋体" w:hAnsi="宋体"/>
        </w:rPr>
      </w:pPr>
      <w:r>
        <w:rPr>
          <w:rFonts w:hint="eastAsia" w:ascii="宋体" w:hAnsi="宋体"/>
        </w:rPr>
        <w:t>供应商名称：深圳市创世嘉里科技有限公司</w:t>
      </w:r>
    </w:p>
    <w:p w14:paraId="37C81C40">
      <w:pPr>
        <w:spacing w:line="360" w:lineRule="auto"/>
        <w:ind w:firstLine="420" w:firstLineChars="200"/>
        <w:rPr>
          <w:rFonts w:hint="eastAsia" w:ascii="宋体" w:hAnsi="宋体"/>
        </w:rPr>
      </w:pPr>
      <w:r>
        <w:rPr>
          <w:rFonts w:hint="eastAsia" w:ascii="宋体" w:hAnsi="宋体"/>
        </w:rPr>
        <w:t>供应商地址：深圳市福田区梅林街道梅都社区中康路128号卓越梅林中心广场(北区)2号楼1303</w:t>
      </w:r>
    </w:p>
    <w:p w14:paraId="18B0B56F">
      <w:pPr>
        <w:spacing w:line="360" w:lineRule="auto"/>
        <w:ind w:firstLine="420" w:firstLineChars="200"/>
        <w:rPr>
          <w:rFonts w:hint="default" w:ascii="宋体" w:hAnsi="宋体"/>
          <w:lang w:val="en-US" w:eastAsia="zh-CN"/>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27C4585">
      <w:pPr>
        <w:spacing w:line="360" w:lineRule="auto"/>
        <w:ind w:firstLine="420" w:firstLineChars="200"/>
        <w:rPr>
          <w:rFonts w:hint="eastAsia" w:ascii="宋体" w:hAnsi="宋体"/>
          <w:lang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1B33D27">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报名时间：2026年1月29日8时00分至2026年2月2日17时00分止。</w:t>
      </w:r>
    </w:p>
    <w:p w14:paraId="17D4E8FF">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4</w:t>
      </w:r>
      <w:r>
        <w:rPr>
          <w:rFonts w:hint="eastAsia" w:ascii="宋体" w:hAnsi="宋体"/>
          <w:highlight w:val="none"/>
        </w:rPr>
        <w:t>日</w:t>
      </w:r>
      <w:r>
        <w:rPr>
          <w:rFonts w:hint="eastAsia" w:ascii="宋体" w:hAnsi="宋体"/>
          <w:bCs/>
          <w:highlight w:val="none"/>
        </w:rPr>
        <w:t>14:00至14:30（北京时间）；</w:t>
      </w:r>
    </w:p>
    <w:p w14:paraId="78BAA079">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482C806E">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4</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6367366C">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4</w:t>
      </w:r>
      <w:r>
        <w:rPr>
          <w:rFonts w:hint="eastAsia" w:ascii="宋体" w:hAnsi="宋体"/>
          <w:highlight w:val="none"/>
        </w:rPr>
        <w:t>日</w:t>
      </w:r>
      <w:r>
        <w:rPr>
          <w:rFonts w:hint="eastAsia" w:ascii="宋体" w:hAnsi="宋体"/>
          <w:bCs/>
          <w:highlight w:val="none"/>
        </w:rPr>
        <w:t>14:30（北京时间）</w:t>
      </w:r>
    </w:p>
    <w:p w14:paraId="5F335419">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FBAB5B0">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自本公告发布之日起5日。</w:t>
      </w:r>
    </w:p>
    <w:p w14:paraId="783EA265">
      <w:pPr>
        <w:pStyle w:val="30"/>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0"/>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2、投标人有义务在谈判活动期间浏览深圳市福田区第二人民医院网站（https://www.ft2yy.cn/）。相关公告在上述媒体上公布之日即视为有效送达，不再另行通知。</w:t>
      </w:r>
    </w:p>
    <w:p w14:paraId="14DB6B97">
      <w:pPr>
        <w:pStyle w:val="30"/>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七、对本次谈判提出询问，请按以下方式联系。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1B01E0D4">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w:t>
      </w:r>
      <w:bookmarkEnd w:id="3"/>
      <w:bookmarkEnd w:id="4"/>
      <w:bookmarkEnd w:id="5"/>
    </w:p>
    <w:p w14:paraId="7F2E5E0A">
      <w:pPr>
        <w:spacing w:line="400" w:lineRule="exact"/>
        <w:ind w:firstLine="420" w:firstLineChars="200"/>
        <w:jc w:val="right"/>
        <w:rPr>
          <w:rFonts w:hint="eastAsia" w:ascii="宋体" w:hAnsi="宋体"/>
        </w:rPr>
      </w:pPr>
    </w:p>
    <w:p w14:paraId="28FE820D">
      <w:pPr>
        <w:spacing w:line="400" w:lineRule="exact"/>
        <w:ind w:firstLine="420" w:firstLineChars="200"/>
        <w:jc w:val="right"/>
        <w:rPr>
          <w:rFonts w:hint="eastAsia" w:ascii="宋体" w:hAnsi="宋体"/>
        </w:rPr>
      </w:pPr>
    </w:p>
    <w:p w14:paraId="7B98A2E6">
      <w:pPr>
        <w:spacing w:line="400" w:lineRule="exact"/>
        <w:ind w:firstLine="420" w:firstLineChars="200"/>
        <w:jc w:val="right"/>
        <w:rPr>
          <w:rFonts w:hint="eastAsia" w:ascii="宋体" w:hAnsi="宋体"/>
        </w:rPr>
      </w:pPr>
    </w:p>
    <w:p w14:paraId="01C5B294">
      <w:pPr>
        <w:spacing w:line="400" w:lineRule="exact"/>
        <w:ind w:firstLine="420" w:firstLineChars="200"/>
        <w:jc w:val="right"/>
        <w:rPr>
          <w:rFonts w:hint="eastAsia" w:ascii="宋体" w:hAnsi="宋体"/>
        </w:rPr>
      </w:pPr>
    </w:p>
    <w:p w14:paraId="6F0686E3">
      <w:pPr>
        <w:spacing w:line="400" w:lineRule="exact"/>
        <w:ind w:firstLine="420" w:firstLineChars="200"/>
        <w:jc w:val="right"/>
        <w:rPr>
          <w:rFonts w:hint="eastAsia" w:ascii="宋体" w:hAnsi="宋体"/>
        </w:rPr>
      </w:pPr>
    </w:p>
    <w:p w14:paraId="671D8BDE">
      <w:pPr>
        <w:spacing w:line="400" w:lineRule="exact"/>
        <w:ind w:firstLine="420" w:firstLineChars="200"/>
        <w:jc w:val="right"/>
        <w:rPr>
          <w:rFonts w:hint="eastAsia" w:ascii="宋体" w:hAnsi="宋体"/>
        </w:rPr>
      </w:pPr>
    </w:p>
    <w:p w14:paraId="710B0E0D">
      <w:pPr>
        <w:spacing w:line="400" w:lineRule="exact"/>
        <w:ind w:firstLine="420" w:firstLineChars="200"/>
        <w:jc w:val="right"/>
        <w:rPr>
          <w:rFonts w:hint="eastAsia" w:ascii="宋体" w:hAnsi="宋体"/>
        </w:rPr>
      </w:pPr>
    </w:p>
    <w:p w14:paraId="693233D9">
      <w:pPr>
        <w:spacing w:line="400" w:lineRule="exact"/>
        <w:ind w:firstLine="420" w:firstLineChars="200"/>
        <w:jc w:val="right"/>
        <w:rPr>
          <w:rFonts w:hint="eastAsia" w:ascii="宋体" w:hAnsi="宋体"/>
        </w:rPr>
      </w:pPr>
    </w:p>
    <w:p w14:paraId="367A490C">
      <w:pPr>
        <w:spacing w:line="400" w:lineRule="exact"/>
        <w:ind w:firstLine="420" w:firstLineChars="200"/>
        <w:jc w:val="right"/>
        <w:rPr>
          <w:rFonts w:hint="eastAsia" w:ascii="宋体" w:hAnsi="宋体"/>
        </w:rPr>
      </w:pPr>
    </w:p>
    <w:p w14:paraId="151F1BBB">
      <w:pPr>
        <w:spacing w:line="400" w:lineRule="exact"/>
        <w:ind w:firstLine="420" w:firstLineChars="200"/>
        <w:jc w:val="right"/>
        <w:rPr>
          <w:rFonts w:hint="eastAsia" w:ascii="宋体" w:hAnsi="宋体"/>
        </w:rPr>
      </w:pPr>
    </w:p>
    <w:p w14:paraId="42C4CFAE">
      <w:pPr>
        <w:spacing w:line="400" w:lineRule="exact"/>
        <w:ind w:firstLine="420" w:firstLineChars="200"/>
        <w:jc w:val="right"/>
        <w:rPr>
          <w:rFonts w:hint="eastAsia" w:ascii="宋体" w:hAnsi="宋体"/>
        </w:rPr>
      </w:pPr>
    </w:p>
    <w:p w14:paraId="540771E4">
      <w:pPr>
        <w:spacing w:line="400" w:lineRule="exact"/>
        <w:ind w:firstLine="420" w:firstLineChars="200"/>
        <w:jc w:val="right"/>
        <w:rPr>
          <w:rFonts w:hint="eastAsia" w:ascii="宋体" w:hAnsi="宋体"/>
        </w:rPr>
      </w:pPr>
    </w:p>
    <w:p w14:paraId="2B430713">
      <w:pPr>
        <w:spacing w:line="400" w:lineRule="exact"/>
        <w:ind w:firstLine="420" w:firstLineChars="200"/>
        <w:jc w:val="right"/>
        <w:rPr>
          <w:rFonts w:hint="eastAsia" w:ascii="宋体" w:hAnsi="宋体"/>
        </w:rPr>
      </w:pPr>
    </w:p>
    <w:p w14:paraId="38F91C62">
      <w:pPr>
        <w:spacing w:line="400" w:lineRule="exact"/>
        <w:ind w:firstLine="420" w:firstLineChars="200"/>
        <w:jc w:val="right"/>
        <w:rPr>
          <w:rFonts w:hint="eastAsia" w:ascii="宋体" w:hAnsi="宋体"/>
        </w:rPr>
      </w:pPr>
    </w:p>
    <w:p w14:paraId="6AEC6D12">
      <w:pPr>
        <w:spacing w:line="400" w:lineRule="exact"/>
        <w:ind w:firstLine="420" w:firstLineChars="200"/>
        <w:jc w:val="right"/>
        <w:rPr>
          <w:rFonts w:hint="eastAsia" w:ascii="宋体" w:hAnsi="宋体"/>
        </w:rPr>
      </w:pPr>
    </w:p>
    <w:p w14:paraId="74716F70">
      <w:pPr>
        <w:spacing w:line="400" w:lineRule="exact"/>
        <w:ind w:firstLine="420" w:firstLineChars="200"/>
        <w:jc w:val="right"/>
        <w:rPr>
          <w:rFonts w:hint="eastAsia" w:ascii="宋体" w:hAnsi="宋体"/>
        </w:rPr>
      </w:pPr>
    </w:p>
    <w:p w14:paraId="1E5909DF">
      <w:pPr>
        <w:spacing w:line="400" w:lineRule="exact"/>
        <w:ind w:firstLine="420" w:firstLineChars="200"/>
        <w:jc w:val="right"/>
        <w:rPr>
          <w:rFonts w:hint="eastAsia" w:ascii="宋体" w:hAnsi="宋体"/>
        </w:rPr>
      </w:pPr>
    </w:p>
    <w:p w14:paraId="52A61FB5">
      <w:pPr>
        <w:spacing w:line="400" w:lineRule="exact"/>
        <w:ind w:firstLine="420" w:firstLineChars="200"/>
        <w:jc w:val="right"/>
        <w:rPr>
          <w:rFonts w:hint="eastAsia" w:ascii="宋体" w:hAnsi="宋体"/>
        </w:rPr>
      </w:pPr>
    </w:p>
    <w:p w14:paraId="53A61936">
      <w:pPr>
        <w:spacing w:line="400" w:lineRule="exact"/>
        <w:ind w:firstLine="420" w:firstLineChars="200"/>
        <w:jc w:val="right"/>
        <w:rPr>
          <w:rFonts w:hint="eastAsia" w:ascii="宋体" w:hAnsi="宋体"/>
        </w:rPr>
      </w:pPr>
    </w:p>
    <w:p w14:paraId="55CF4BA6">
      <w:pPr>
        <w:spacing w:line="400" w:lineRule="exact"/>
        <w:ind w:firstLine="420" w:firstLineChars="200"/>
        <w:jc w:val="right"/>
        <w:rPr>
          <w:rFonts w:hint="eastAsia" w:ascii="宋体" w:hAnsi="宋体"/>
        </w:rPr>
      </w:pPr>
    </w:p>
    <w:p w14:paraId="17F11F84">
      <w:pPr>
        <w:spacing w:line="400" w:lineRule="exact"/>
        <w:ind w:firstLine="420" w:firstLineChars="200"/>
        <w:jc w:val="right"/>
        <w:rPr>
          <w:rFonts w:hint="eastAsia" w:ascii="宋体" w:hAnsi="宋体"/>
        </w:rPr>
      </w:pPr>
    </w:p>
    <w:p w14:paraId="5898B3B2">
      <w:pPr>
        <w:spacing w:line="400" w:lineRule="exact"/>
        <w:ind w:firstLine="420" w:firstLineChars="200"/>
        <w:jc w:val="right"/>
        <w:rPr>
          <w:rFonts w:hint="eastAsia" w:ascii="宋体" w:hAnsi="宋体"/>
        </w:rPr>
      </w:pPr>
    </w:p>
    <w:p w14:paraId="59771B28">
      <w:pPr>
        <w:spacing w:line="400" w:lineRule="exact"/>
        <w:ind w:firstLine="420" w:firstLineChars="200"/>
        <w:jc w:val="right"/>
        <w:rPr>
          <w:rFonts w:hint="eastAsia" w:ascii="宋体" w:hAnsi="宋体"/>
        </w:rPr>
      </w:pPr>
    </w:p>
    <w:p w14:paraId="7BB6A93D">
      <w:pPr>
        <w:spacing w:line="400" w:lineRule="exact"/>
        <w:ind w:firstLine="420" w:firstLineChars="200"/>
        <w:jc w:val="right"/>
        <w:rPr>
          <w:rFonts w:hint="eastAsia" w:ascii="宋体" w:hAnsi="宋体"/>
        </w:rPr>
      </w:pPr>
    </w:p>
    <w:p w14:paraId="01B536D1">
      <w:pPr>
        <w:spacing w:line="400" w:lineRule="exact"/>
        <w:ind w:firstLine="420" w:firstLineChars="200"/>
        <w:jc w:val="right"/>
        <w:rPr>
          <w:rFonts w:hint="eastAsia" w:ascii="宋体" w:hAnsi="宋体"/>
        </w:rPr>
      </w:pPr>
    </w:p>
    <w:p w14:paraId="5B60410A">
      <w:pPr>
        <w:spacing w:line="400" w:lineRule="exact"/>
        <w:ind w:firstLine="420" w:firstLineChars="200"/>
        <w:jc w:val="right"/>
        <w:rPr>
          <w:rFonts w:hint="eastAsia" w:ascii="宋体" w:hAnsi="宋体"/>
        </w:rPr>
      </w:pPr>
    </w:p>
    <w:p w14:paraId="22694E02">
      <w:pPr>
        <w:spacing w:line="400" w:lineRule="exact"/>
        <w:ind w:firstLine="420" w:firstLineChars="200"/>
        <w:jc w:val="right"/>
        <w:rPr>
          <w:rFonts w:hint="eastAsia" w:ascii="宋体" w:hAnsi="宋体"/>
        </w:rPr>
      </w:pPr>
    </w:p>
    <w:p w14:paraId="22F58DF4">
      <w:pPr>
        <w:spacing w:line="400" w:lineRule="exact"/>
        <w:ind w:firstLine="420" w:firstLineChars="200"/>
        <w:jc w:val="right"/>
        <w:rPr>
          <w:rFonts w:hint="eastAsia" w:ascii="宋体" w:hAnsi="宋体"/>
        </w:rPr>
      </w:pPr>
    </w:p>
    <w:p w14:paraId="53876EEB">
      <w:pPr>
        <w:spacing w:line="400" w:lineRule="exact"/>
        <w:jc w:val="both"/>
        <w:rPr>
          <w:rFonts w:hint="eastAsia" w:ascii="宋体" w:hAnsi="宋体"/>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872"/>
        <w:gridCol w:w="1486"/>
        <w:gridCol w:w="2103"/>
        <w:gridCol w:w="2097"/>
        <w:gridCol w:w="1168"/>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485"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2"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86"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rPr>
            </w:pPr>
            <w:r>
              <w:rPr>
                <w:rFonts w:hint="eastAsia" w:ascii="宋体" w:hAnsi="宋体" w:eastAsia="宋体" w:cs="宋体"/>
                <w:b/>
                <w:color w:val="auto"/>
                <w:szCs w:val="21"/>
                <w:highlight w:val="none"/>
                <w:lang w:val="en-US" w:eastAsia="zh-CN"/>
              </w:rPr>
              <w:t>合同有效期</w:t>
            </w:r>
          </w:p>
        </w:tc>
        <w:tc>
          <w:tcPr>
            <w:tcW w:w="2103" w:type="dxa"/>
            <w:shd w:val="clear" w:color="auto" w:fill="EEECE1"/>
            <w:vAlign w:val="center"/>
          </w:tcPr>
          <w:p w14:paraId="4E8261B4">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97" w:type="dxa"/>
            <w:shd w:val="clear" w:color="auto" w:fill="EEECE1"/>
            <w:vAlign w:val="center"/>
          </w:tcPr>
          <w:p w14:paraId="77A1679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68"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485"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szCs w:val="28"/>
                <w:u w:val="none"/>
                <w:lang w:val="en-US" w:eastAsia="zh-CN"/>
              </w:rPr>
              <w:t>贝克曼DXI800化学发光分析仪检验耗材一批（二次）</w:t>
            </w:r>
          </w:p>
        </w:tc>
        <w:tc>
          <w:tcPr>
            <w:tcW w:w="872"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86" w:type="dxa"/>
            <w:vAlign w:val="center"/>
          </w:tcPr>
          <w:p w14:paraId="36A3EC96">
            <w:pPr>
              <w:pStyle w:val="27"/>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2年（24个月）</w:t>
            </w:r>
          </w:p>
        </w:tc>
        <w:tc>
          <w:tcPr>
            <w:tcW w:w="2103" w:type="dxa"/>
            <w:vAlign w:val="center"/>
          </w:tcPr>
          <w:p w14:paraId="1A53C8B9">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人民币191680.00元</w:t>
            </w:r>
          </w:p>
        </w:tc>
        <w:tc>
          <w:tcPr>
            <w:tcW w:w="2097" w:type="dxa"/>
            <w:vAlign w:val="center"/>
          </w:tcPr>
          <w:p w14:paraId="113A87B9">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人民币191680.00元</w:t>
            </w:r>
          </w:p>
        </w:tc>
        <w:tc>
          <w:tcPr>
            <w:tcW w:w="1168" w:type="dxa"/>
            <w:vAlign w:val="center"/>
          </w:tcPr>
          <w:p w14:paraId="6694BA19">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lang w:val="en-US" w:eastAsia="zh-CN"/>
        </w:rPr>
        <w:t>货品清单及</w:t>
      </w:r>
      <w:r>
        <w:rPr>
          <w:rFonts w:hint="eastAsia" w:hAnsi="宋体"/>
          <w:b/>
          <w:color w:val="auto"/>
        </w:rPr>
        <w:t>技术要求：</w:t>
      </w:r>
    </w:p>
    <w:tbl>
      <w:tblPr>
        <w:tblStyle w:val="17"/>
        <w:tblW w:w="1130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37"/>
        <w:gridCol w:w="4194"/>
        <w:gridCol w:w="916"/>
        <w:gridCol w:w="975"/>
        <w:gridCol w:w="1378"/>
        <w:gridCol w:w="1069"/>
        <w:gridCol w:w="1435"/>
      </w:tblGrid>
      <w:tr w14:paraId="41E73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337"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4195"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915"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75"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378"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1069"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预计年使用量</w:t>
            </w:r>
          </w:p>
        </w:tc>
        <w:tc>
          <w:tcPr>
            <w:tcW w:w="1435"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r>
      <w:tr w14:paraId="485243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337" w:type="dxa"/>
            <w:tcBorders>
              <w:tl2br w:val="nil"/>
              <w:tr2bl w:val="nil"/>
            </w:tcBorders>
            <w:shd w:val="clear" w:color="auto" w:fill="auto"/>
            <w:vAlign w:val="center"/>
          </w:tcPr>
          <w:p w14:paraId="288A3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碱性清洗液</w:t>
            </w:r>
          </w:p>
        </w:tc>
        <w:tc>
          <w:tcPr>
            <w:tcW w:w="4195" w:type="dxa"/>
            <w:tcBorders>
              <w:tl2br w:val="nil"/>
              <w:tr2bl w:val="nil"/>
            </w:tcBorders>
            <w:shd w:val="clear" w:color="auto" w:fill="auto"/>
            <w:vAlign w:val="center"/>
          </w:tcPr>
          <w:p w14:paraId="58E57E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15" w:type="dxa"/>
            <w:tcBorders>
              <w:tl2br w:val="nil"/>
              <w:tr2bl w:val="nil"/>
            </w:tcBorders>
            <w:shd w:val="clear" w:color="auto" w:fill="auto"/>
            <w:vAlign w:val="center"/>
          </w:tcPr>
          <w:p w14:paraId="66304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w:t>
            </w:r>
          </w:p>
        </w:tc>
        <w:tc>
          <w:tcPr>
            <w:tcW w:w="975" w:type="dxa"/>
            <w:tcBorders>
              <w:tl2br w:val="nil"/>
              <w:tr2bl w:val="nil"/>
            </w:tcBorders>
            <w:shd w:val="clear" w:color="auto" w:fill="auto"/>
            <w:vAlign w:val="center"/>
          </w:tcPr>
          <w:p w14:paraId="2A61A8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378" w:type="dxa"/>
            <w:tcBorders>
              <w:tl2br w:val="nil"/>
              <w:tr2bl w:val="nil"/>
            </w:tcBorders>
            <w:shd w:val="clear" w:color="auto" w:fill="auto"/>
            <w:vAlign w:val="center"/>
          </w:tcPr>
          <w:p w14:paraId="6DE5C4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1069" w:type="dxa"/>
            <w:tcBorders>
              <w:tl2br w:val="nil"/>
              <w:tr2bl w:val="nil"/>
            </w:tcBorders>
            <w:shd w:val="clear" w:color="auto" w:fill="auto"/>
            <w:vAlign w:val="center"/>
          </w:tcPr>
          <w:p w14:paraId="70F9B9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l2br w:val="nil"/>
              <w:tr2bl w:val="nil"/>
            </w:tcBorders>
            <w:shd w:val="clear" w:color="auto" w:fill="auto"/>
            <w:vAlign w:val="center"/>
          </w:tcPr>
          <w:p w14:paraId="4FCBA0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r>
      <w:tr w14:paraId="3FBFA2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337" w:type="dxa"/>
            <w:tcBorders>
              <w:tl2br w:val="nil"/>
              <w:tr2bl w:val="nil"/>
            </w:tcBorders>
            <w:shd w:val="clear" w:color="auto" w:fill="auto"/>
            <w:vAlign w:val="center"/>
          </w:tcPr>
          <w:p w14:paraId="05AB5B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反应杯</w:t>
            </w:r>
          </w:p>
        </w:tc>
        <w:tc>
          <w:tcPr>
            <w:tcW w:w="4195" w:type="dxa"/>
            <w:tcBorders>
              <w:tl2br w:val="nil"/>
              <w:tr2bl w:val="nil"/>
            </w:tcBorders>
            <w:shd w:val="clear" w:color="auto" w:fill="auto"/>
            <w:vAlign w:val="center"/>
          </w:tcPr>
          <w:p w14:paraId="226BCC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15" w:type="dxa"/>
            <w:tcBorders>
              <w:tl2br w:val="nil"/>
              <w:tr2bl w:val="nil"/>
            </w:tcBorders>
            <w:shd w:val="clear" w:color="auto" w:fill="auto"/>
            <w:vAlign w:val="center"/>
          </w:tcPr>
          <w:p w14:paraId="68799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1000个</w:t>
            </w:r>
          </w:p>
        </w:tc>
        <w:tc>
          <w:tcPr>
            <w:tcW w:w="975" w:type="dxa"/>
            <w:tcBorders>
              <w:tl2br w:val="nil"/>
              <w:tr2bl w:val="nil"/>
            </w:tcBorders>
            <w:shd w:val="clear" w:color="auto" w:fill="auto"/>
            <w:vAlign w:val="center"/>
          </w:tcPr>
          <w:p w14:paraId="4C5A4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378" w:type="dxa"/>
            <w:tcBorders>
              <w:tl2br w:val="nil"/>
              <w:tr2bl w:val="nil"/>
            </w:tcBorders>
            <w:shd w:val="clear" w:color="auto" w:fill="auto"/>
            <w:vAlign w:val="center"/>
          </w:tcPr>
          <w:p w14:paraId="79CE8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069" w:type="dxa"/>
            <w:tcBorders>
              <w:tl2br w:val="nil"/>
              <w:tr2bl w:val="nil"/>
            </w:tcBorders>
            <w:shd w:val="clear" w:color="auto" w:fill="auto"/>
            <w:vAlign w:val="center"/>
          </w:tcPr>
          <w:p w14:paraId="485D9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270</w:t>
            </w:r>
          </w:p>
        </w:tc>
        <w:tc>
          <w:tcPr>
            <w:tcW w:w="1435" w:type="dxa"/>
            <w:tcBorders>
              <w:tl2br w:val="nil"/>
              <w:tr2bl w:val="nil"/>
            </w:tcBorders>
            <w:shd w:val="clear" w:color="auto" w:fill="auto"/>
            <w:vAlign w:val="center"/>
          </w:tcPr>
          <w:p w14:paraId="6CFEB8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189000</w:t>
            </w:r>
          </w:p>
        </w:tc>
      </w:tr>
      <w:tr w14:paraId="7423CF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337" w:type="dxa"/>
            <w:tcBorders>
              <w:tl2br w:val="nil"/>
              <w:tr2bl w:val="nil"/>
            </w:tcBorders>
            <w:shd w:val="clear" w:color="auto" w:fill="auto"/>
            <w:vAlign w:val="center"/>
          </w:tcPr>
          <w:p w14:paraId="210CA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酸性清洗液</w:t>
            </w:r>
          </w:p>
        </w:tc>
        <w:tc>
          <w:tcPr>
            <w:tcW w:w="4195" w:type="dxa"/>
            <w:tcBorders>
              <w:tl2br w:val="nil"/>
              <w:tr2bl w:val="nil"/>
            </w:tcBorders>
            <w:shd w:val="clear" w:color="auto" w:fill="auto"/>
            <w:vAlign w:val="center"/>
          </w:tcPr>
          <w:p w14:paraId="70A000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15" w:type="dxa"/>
            <w:tcBorders>
              <w:tl2br w:val="nil"/>
              <w:tr2bl w:val="nil"/>
            </w:tcBorders>
            <w:shd w:val="clear" w:color="auto" w:fill="auto"/>
            <w:vAlign w:val="center"/>
          </w:tcPr>
          <w:p w14:paraId="7BDB9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1gallon</w:t>
            </w:r>
          </w:p>
        </w:tc>
        <w:tc>
          <w:tcPr>
            <w:tcW w:w="975" w:type="dxa"/>
            <w:tcBorders>
              <w:tl2br w:val="nil"/>
              <w:tr2bl w:val="nil"/>
            </w:tcBorders>
            <w:shd w:val="clear" w:color="auto" w:fill="auto"/>
            <w:vAlign w:val="center"/>
          </w:tcPr>
          <w:p w14:paraId="0EF7A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378" w:type="dxa"/>
            <w:tcBorders>
              <w:tl2br w:val="nil"/>
              <w:tr2bl w:val="nil"/>
            </w:tcBorders>
            <w:shd w:val="clear" w:color="auto" w:fill="auto"/>
            <w:vAlign w:val="center"/>
          </w:tcPr>
          <w:p w14:paraId="75007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c>
          <w:tcPr>
            <w:tcW w:w="1069" w:type="dxa"/>
            <w:tcBorders>
              <w:tl2br w:val="nil"/>
              <w:tr2bl w:val="nil"/>
            </w:tcBorders>
            <w:shd w:val="clear" w:color="auto" w:fill="auto"/>
            <w:vAlign w:val="center"/>
          </w:tcPr>
          <w:p w14:paraId="22B4E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l2br w:val="nil"/>
              <w:tr2bl w:val="nil"/>
            </w:tcBorders>
            <w:shd w:val="clear" w:color="auto" w:fill="auto"/>
            <w:vAlign w:val="center"/>
          </w:tcPr>
          <w:p w14:paraId="7D483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r>
      <w:tr w14:paraId="39E2BB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337" w:type="dxa"/>
            <w:tcBorders>
              <w:tl2br w:val="nil"/>
              <w:tr2bl w:val="nil"/>
            </w:tcBorders>
            <w:shd w:val="clear" w:color="auto" w:fill="auto"/>
            <w:vAlign w:val="center"/>
          </w:tcPr>
          <w:p w14:paraId="08883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贝克曼杯</w:t>
            </w:r>
          </w:p>
        </w:tc>
        <w:tc>
          <w:tcPr>
            <w:tcW w:w="4195" w:type="dxa"/>
            <w:tcBorders>
              <w:tl2br w:val="nil"/>
              <w:tr2bl w:val="nil"/>
            </w:tcBorders>
            <w:shd w:val="clear" w:color="auto" w:fill="auto"/>
            <w:vAlign w:val="center"/>
          </w:tcPr>
          <w:p w14:paraId="676AAF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15" w:type="dxa"/>
            <w:tcBorders>
              <w:tl2br w:val="nil"/>
              <w:tr2bl w:val="nil"/>
            </w:tcBorders>
            <w:shd w:val="clear" w:color="auto" w:fill="auto"/>
            <w:vAlign w:val="center"/>
          </w:tcPr>
          <w:p w14:paraId="4ECBC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500个</w:t>
            </w:r>
          </w:p>
        </w:tc>
        <w:tc>
          <w:tcPr>
            <w:tcW w:w="975" w:type="dxa"/>
            <w:tcBorders>
              <w:tl2br w:val="nil"/>
              <w:tr2bl w:val="nil"/>
            </w:tcBorders>
            <w:shd w:val="clear" w:color="auto" w:fill="auto"/>
            <w:vAlign w:val="center"/>
          </w:tcPr>
          <w:p w14:paraId="1743C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378" w:type="dxa"/>
            <w:tcBorders>
              <w:tl2br w:val="nil"/>
              <w:tr2bl w:val="nil"/>
            </w:tcBorders>
            <w:shd w:val="clear" w:color="auto" w:fill="auto"/>
            <w:vAlign w:val="center"/>
          </w:tcPr>
          <w:p w14:paraId="3BA46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69" w:type="dxa"/>
            <w:tcBorders>
              <w:tl2br w:val="nil"/>
              <w:tr2bl w:val="nil"/>
            </w:tcBorders>
            <w:shd w:val="clear" w:color="auto" w:fill="auto"/>
            <w:vAlign w:val="center"/>
          </w:tcPr>
          <w:p w14:paraId="7D85B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l2br w:val="nil"/>
              <w:tr2bl w:val="nil"/>
            </w:tcBorders>
            <w:shd w:val="clear" w:color="auto" w:fill="auto"/>
            <w:vAlign w:val="center"/>
          </w:tcPr>
          <w:p w14:paraId="2F3C3F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61AF65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337" w:type="dxa"/>
            <w:tcBorders>
              <w:tl2br w:val="nil"/>
              <w:tr2bl w:val="nil"/>
            </w:tcBorders>
            <w:shd w:val="clear" w:color="auto" w:fill="auto"/>
            <w:vAlign w:val="center"/>
          </w:tcPr>
          <w:p w14:paraId="720C3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系统校正液</w:t>
            </w:r>
          </w:p>
        </w:tc>
        <w:tc>
          <w:tcPr>
            <w:tcW w:w="4195" w:type="dxa"/>
            <w:tcBorders>
              <w:tl2br w:val="nil"/>
              <w:tr2bl w:val="nil"/>
            </w:tcBorders>
            <w:shd w:val="clear" w:color="auto" w:fill="auto"/>
            <w:vAlign w:val="center"/>
          </w:tcPr>
          <w:p w14:paraId="1B2D11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15" w:type="dxa"/>
            <w:tcBorders>
              <w:tl2br w:val="nil"/>
              <w:tr2bl w:val="nil"/>
            </w:tcBorders>
            <w:shd w:val="clear" w:color="auto" w:fill="auto"/>
            <w:vAlign w:val="center"/>
          </w:tcPr>
          <w:p w14:paraId="0C44B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6x4ml</w:t>
            </w:r>
          </w:p>
        </w:tc>
        <w:tc>
          <w:tcPr>
            <w:tcW w:w="975" w:type="dxa"/>
            <w:tcBorders>
              <w:tl2br w:val="nil"/>
              <w:tr2bl w:val="nil"/>
            </w:tcBorders>
            <w:shd w:val="clear" w:color="auto" w:fill="auto"/>
            <w:vAlign w:val="center"/>
          </w:tcPr>
          <w:p w14:paraId="260BF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378" w:type="dxa"/>
            <w:tcBorders>
              <w:tl2br w:val="nil"/>
              <w:tr2bl w:val="nil"/>
            </w:tcBorders>
            <w:shd w:val="clear" w:color="auto" w:fill="auto"/>
            <w:vAlign w:val="center"/>
          </w:tcPr>
          <w:p w14:paraId="597EB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069" w:type="dxa"/>
            <w:tcBorders>
              <w:tl2br w:val="nil"/>
              <w:tr2bl w:val="nil"/>
            </w:tcBorders>
            <w:shd w:val="clear" w:color="auto" w:fill="auto"/>
            <w:vAlign w:val="center"/>
          </w:tcPr>
          <w:p w14:paraId="42201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l2br w:val="nil"/>
              <w:tr2bl w:val="nil"/>
            </w:tcBorders>
            <w:shd w:val="clear" w:color="auto" w:fill="auto"/>
            <w:vAlign w:val="center"/>
          </w:tcPr>
          <w:p w14:paraId="5D477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bl>
    <w:p w14:paraId="5183A961">
      <w:pPr>
        <w:pStyle w:val="10"/>
        <w:tabs>
          <w:tab w:val="left" w:pos="420"/>
          <w:tab w:val="left" w:pos="540"/>
        </w:tabs>
        <w:adjustRightInd w:val="0"/>
        <w:snapToGrid w:val="0"/>
        <w:spacing w:line="360" w:lineRule="auto"/>
        <w:rPr>
          <w:rFonts w:hAnsi="宋体"/>
          <w:b/>
          <w:color w:val="auto"/>
        </w:rPr>
      </w:pPr>
    </w:p>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26BD2C03">
      <w:pPr>
        <w:keepNext w:val="0"/>
        <w:keepLines w:val="0"/>
        <w:widowControl w:val="0"/>
        <w:numPr>
          <w:ilvl w:val="0"/>
          <w:numId w:val="8"/>
        </w:numPr>
        <w:suppressLineNumbers w:val="0"/>
        <w:tabs>
          <w:tab w:val="left" w:pos="0"/>
          <w:tab w:val="left" w:pos="220"/>
        </w:tabs>
        <w:wordWrap w:val="0"/>
        <w:autoSpaceDE w:val="0"/>
        <w:autoSpaceDN/>
        <w:adjustRightInd w:val="0"/>
        <w:snapToGrid w:val="0"/>
        <w:spacing w:before="0" w:beforeAutospacing="0" w:after="0" w:afterAutospacing="0"/>
        <w:ind w:left="0" w:right="0"/>
        <w:jc w:val="left"/>
        <w:rPr>
          <w:rFonts w:hint="eastAsia" w:ascii="Calibri" w:hAnsi="Calibri" w:eastAsia="宋体" w:cs="Times New Roman"/>
          <w:kern w:val="2"/>
          <w:sz w:val="21"/>
          <w:szCs w:val="21"/>
        </w:rPr>
      </w:pPr>
      <w:r>
        <w:rPr>
          <w:rFonts w:hint="eastAsia" w:ascii="宋体" w:hAnsi="宋体" w:eastAsia="宋体" w:cs="宋体"/>
          <w:b/>
          <w:bCs/>
          <w:kern w:val="2"/>
          <w:sz w:val="21"/>
          <w:szCs w:val="21"/>
          <w:lang w:val="en-US" w:eastAsia="zh-CN" w:bidi="ar"/>
        </w:rPr>
        <w:t>合同履行期限：</w:t>
      </w:r>
      <w:r>
        <w:rPr>
          <w:rFonts w:hint="default" w:ascii="Calibri" w:hAnsi="Calibri" w:eastAsia="宋体" w:cs="Calibri"/>
          <w:kern w:val="2"/>
          <w:sz w:val="21"/>
          <w:szCs w:val="21"/>
          <w:lang w:val="en-US" w:eastAsia="zh-CN" w:bidi="ar"/>
        </w:rPr>
        <w:t>24</w:t>
      </w:r>
      <w:r>
        <w:rPr>
          <w:rFonts w:hint="eastAsia" w:ascii="宋体" w:hAnsi="宋体" w:eastAsia="宋体" w:cs="宋体"/>
          <w:kern w:val="2"/>
          <w:sz w:val="21"/>
          <w:szCs w:val="21"/>
          <w:lang w:val="en-US" w:eastAsia="zh-CN" w:bidi="ar"/>
        </w:rPr>
        <w:t>个月。</w:t>
      </w:r>
    </w:p>
    <w:p w14:paraId="3401BFF5">
      <w:pPr>
        <w:keepNext w:val="0"/>
        <w:keepLines w:val="0"/>
        <w:widowControl w:val="0"/>
        <w:numPr>
          <w:ilvl w:val="0"/>
          <w:numId w:val="8"/>
        </w:numPr>
        <w:suppressLineNumbers w:val="0"/>
        <w:tabs>
          <w:tab w:val="left" w:pos="0"/>
          <w:tab w:val="left" w:pos="220"/>
        </w:tabs>
        <w:autoSpaceDE w:val="0"/>
        <w:autoSpaceDN/>
        <w:spacing w:before="0" w:beforeAutospacing="0" w:after="0" w:afterAutospacing="0"/>
        <w:ind w:left="0" w:leftChars="0" w:right="0" w:firstLine="0" w:firstLineChars="0"/>
        <w:jc w:val="left"/>
        <w:rPr>
          <w:rFonts w:hint="eastAsia" w:ascii="宋体" w:hAnsi="宋体" w:eastAsia="宋体" w:cs="宋体"/>
          <w:b w:val="0"/>
          <w:bCs w:val="0"/>
          <w:kern w:val="2"/>
          <w:sz w:val="21"/>
          <w:szCs w:val="21"/>
        </w:rPr>
      </w:pPr>
      <w:r>
        <w:rPr>
          <w:rFonts w:hint="eastAsia" w:ascii="宋体" w:hAnsi="宋体" w:eastAsia="宋体" w:cs="宋体"/>
          <w:b/>
          <w:bCs/>
          <w:kern w:val="2"/>
          <w:sz w:val="21"/>
          <w:szCs w:val="21"/>
          <w:lang w:val="en-US" w:eastAsia="zh-CN" w:bidi="ar"/>
        </w:rPr>
        <w:t>交货时间：</w:t>
      </w:r>
      <w:r>
        <w:rPr>
          <w:rFonts w:hint="eastAsia" w:ascii="宋体" w:hAnsi="宋体" w:eastAsia="宋体" w:cs="宋体"/>
          <w:b w:val="0"/>
          <w:bCs w:val="0"/>
          <w:kern w:val="2"/>
          <w:sz w:val="21"/>
          <w:szCs w:val="21"/>
          <w:lang w:val="en-US" w:eastAsia="zh-CN" w:bidi="ar"/>
        </w:rPr>
        <w:t>中标人收到采购人的需求清单后2天内交货。</w:t>
      </w:r>
    </w:p>
    <w:p w14:paraId="32534ACE">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3.报价方式：</w:t>
      </w:r>
    </w:p>
    <w:p w14:paraId="3DD54695">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3.1报价使用货币及单位：人民币（元），报价精确到元。</w:t>
      </w:r>
    </w:p>
    <w:p w14:paraId="6D2E9B30">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3.2投标人所报价格为含税、配送商费用等的全包价。</w:t>
      </w:r>
    </w:p>
    <w:p w14:paraId="3D24E112">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3.3投标人的投标报价不得高于深圳市最低成交价。</w:t>
      </w:r>
    </w:p>
    <w:p w14:paraId="0424A42D">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3.4投标人不得以低于自身成本的报价投标：当评标委员会认为其报价低于成本价时，评标委员会有权要求其对成本构成进行介绍，并要求投标方用书面的形式进行低价说明（在保证质量的前提下，能够大副节省经费的手段或原因）；如投标人没有合理的理由或不按要求提供低价说明，可视为不被接受的有风险的报价。</w:t>
      </w:r>
    </w:p>
    <w:p w14:paraId="20292913">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4.付款方式：</w:t>
      </w:r>
    </w:p>
    <w:p w14:paraId="24AA688B">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本项目是按月据实结算，投标人在中标后，每月根据采购人的采购订货单、货物验收签到表以及开具购买对应耗材的发票金额，向采购人申请支付费用结算。</w:t>
      </w:r>
    </w:p>
    <w:p w14:paraId="43CBADEF">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5.质量保证：</w:t>
      </w:r>
    </w:p>
    <w:p w14:paraId="0A87B37F">
      <w:pPr>
        <w:keepNext w:val="0"/>
        <w:keepLines w:val="0"/>
        <w:widowControl w:val="0"/>
        <w:suppressLineNumbers w:val="0"/>
        <w:tabs>
          <w:tab w:val="left" w:pos="0"/>
          <w:tab w:val="left" w:pos="420"/>
        </w:tabs>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5.1中标人需按国家相关标准进行耗材包装，耗材的包装均需有良好的防湿、防锈、防潮、防雨、防腐及防碰撞的措施，并适宜深圳的气候条件。凡由于包装不良造成的损失和由此产生的费用均由中标人承担。</w:t>
      </w:r>
    </w:p>
    <w:p w14:paraId="60B386DC">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5.2中标人应提供完整的技术资料，包括但不限于产品说明书、质量保证文件、服务指南等，所有外文资料需提供中文译本。文件应随货物一并交付至采购人指定地点。</w:t>
      </w:r>
    </w:p>
    <w:p w14:paraId="2E34608A">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5.3在临床使用中出现不良事件，要求中标人接到通知后半小时内响应，两小时内赶到现场。经国家相关质量监察部门鉴定后，确实属于产品质量问题的，由中标人承担全部责任。</w:t>
      </w:r>
    </w:p>
    <w:p w14:paraId="52FFEA40">
      <w:pPr>
        <w:pStyle w:val="15"/>
        <w:keepNext w:val="0"/>
        <w:keepLines w:val="0"/>
        <w:widowControl w:val="0"/>
        <w:suppressLineNumbers w:val="0"/>
        <w:autoSpaceDE w:val="0"/>
        <w:autoSpaceDN/>
        <w:adjustRightInd w:val="0"/>
        <w:snapToGrid w:val="0"/>
        <w:spacing w:before="0" w:beforeAutospacing="0" w:after="0" w:afterAutospacing="0"/>
        <w:ind w:left="0" w:leftChars="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5.4</w:t>
      </w:r>
      <w:r>
        <w:rPr>
          <w:rFonts w:hint="eastAsia" w:ascii="宋体" w:hAnsi="宋体" w:eastAsia="宋体" w:cs="宋体"/>
          <w:kern w:val="0"/>
          <w:sz w:val="21"/>
          <w:szCs w:val="21"/>
          <w:lang w:val="en-US" w:eastAsia="zh-CN" w:bidi="ar"/>
        </w:rPr>
        <w:t>货物有效期不低于</w:t>
      </w:r>
      <w:r>
        <w:rPr>
          <w:rFonts w:hint="eastAsia" w:ascii="宋体" w:hAnsi="宋体" w:eastAsia="宋体" w:cs="宋体"/>
          <w:b/>
          <w:bCs/>
          <w:color w:val="FF0000"/>
          <w:kern w:val="0"/>
          <w:sz w:val="21"/>
          <w:szCs w:val="21"/>
          <w:u w:val="single"/>
          <w:lang w:val="en-US" w:eastAsia="zh-CN" w:bidi="ar"/>
        </w:rPr>
        <w:t>产品有效期的三分之二</w:t>
      </w:r>
      <w:r>
        <w:rPr>
          <w:rFonts w:hint="eastAsia" w:ascii="宋体" w:hAnsi="宋体" w:eastAsia="宋体" w:cs="宋体"/>
          <w:kern w:val="0"/>
          <w:sz w:val="21"/>
          <w:szCs w:val="21"/>
          <w:lang w:val="en-US" w:eastAsia="zh-CN" w:bidi="ar"/>
        </w:rPr>
        <w:t>，有效期内有任何产品质量问题，中标人需免费进行更换。</w:t>
      </w:r>
    </w:p>
    <w:p w14:paraId="0CA623B2">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6.售后服务要求：</w:t>
      </w:r>
    </w:p>
    <w:p w14:paraId="590459F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6.1耗材出现问题时，要求中标人能在半小时内响应，两小时内赶到现场。</w:t>
      </w:r>
    </w:p>
    <w:p w14:paraId="43F1E94B">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自采购人订单发出之时起要求中标人耗材配送时限一般不超过48小时。若采购人要求紧急配送，中标人需保证所有耗材在4小时内送达。采购人订单发出时间包含节假日，中标人应留置值班人员以满足采购人订货需求。</w:t>
      </w:r>
    </w:p>
    <w:p w14:paraId="0FB82F95">
      <w:pPr>
        <w:keepNext w:val="0"/>
        <w:keepLines w:val="0"/>
        <w:widowControl w:val="0"/>
        <w:suppressLineNumbers w:val="0"/>
        <w:tabs>
          <w:tab w:val="left" w:pos="0"/>
          <w:tab w:val="left" w:pos="420"/>
        </w:tabs>
        <w:autoSpaceDE w:val="0"/>
        <w:autoSpaceDN/>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6.3投标人应按其投标文件中的承诺，进行其他售后服务工作。</w:t>
      </w:r>
    </w:p>
    <w:p w14:paraId="27810223">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7.验收及相关技术文件、资料：</w:t>
      </w:r>
    </w:p>
    <w:p w14:paraId="2723ABE7">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7.1投标人提供的耗材应符合国家承认的相应标准。满足采购要求。</w:t>
      </w:r>
    </w:p>
    <w:p w14:paraId="1AF748A8">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7.2投标人所提供的应是其合法生产或代理的合格耗材，并能够按照耗材成交确认合同规定的商标、产地、质量、价格、有效期及时供货。</w:t>
      </w:r>
    </w:p>
    <w:p w14:paraId="0E9A3D1D">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7.3耗材外观清洁，产品包装上（包括大包装、小包装等）需附有以下所列各项国家规定的中文标识：</w:t>
      </w:r>
    </w:p>
    <w:p w14:paraId="6D8CC0B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（1）耗材名称、型号、规格；</w:t>
      </w:r>
    </w:p>
    <w:p w14:paraId="611EC2BE">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（2）生产企业名称、注册地址、生产地址、联系方式；</w:t>
      </w:r>
    </w:p>
    <w:p w14:paraId="4BE37601">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（3）耗材生产日期或批（编）号、有效期限。</w:t>
      </w:r>
    </w:p>
    <w:p w14:paraId="18A27574">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7.4所有耗材在开封检验时应完好，无破损，配置与说明书相符。如有破损，应无条件退换。</w:t>
      </w:r>
    </w:p>
    <w:p w14:paraId="24F4057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7.5耗材符合谈判文件技术要求，具备产品合格证，性能满足要求。</w:t>
      </w:r>
    </w:p>
    <w:p w14:paraId="003BB05E">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7.6采购人接受货物后若有疑义或使用前发现不宜使用的现象，中标人需提供退换货服务，不额外收费。</w:t>
      </w:r>
    </w:p>
    <w:p w14:paraId="7BBC420B">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color w:val="FF0000"/>
          <w:kern w:val="2"/>
          <w:sz w:val="21"/>
          <w:szCs w:val="21"/>
        </w:rPr>
      </w:pPr>
      <w:r>
        <w:rPr>
          <w:rFonts w:hint="eastAsia" w:ascii="宋体" w:hAnsi="宋体" w:eastAsia="宋体" w:cs="宋体"/>
          <w:b/>
          <w:bCs/>
          <w:kern w:val="2"/>
          <w:sz w:val="21"/>
          <w:szCs w:val="21"/>
          <w:lang w:val="en-US" w:eastAsia="zh-CN" w:bidi="ar"/>
        </w:rPr>
        <w:t>8.运输要求：</w:t>
      </w:r>
      <w:r>
        <w:rPr>
          <w:rFonts w:hint="eastAsia" w:ascii="宋体" w:hAnsi="宋体" w:eastAsia="宋体" w:cs="宋体"/>
          <w:kern w:val="2"/>
          <w:sz w:val="21"/>
          <w:szCs w:val="21"/>
          <w:lang w:val="en-US" w:eastAsia="zh-CN" w:bidi="ar"/>
        </w:rPr>
        <w:t>中标人负责将耗材安全无损运抵采购人指定地点，并承担包装、运输、保险、装卸、关税、增值税等费用。</w:t>
      </w:r>
    </w:p>
    <w:p w14:paraId="58747A4A">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9.质量及知识产权要求：</w:t>
      </w:r>
    </w:p>
    <w:p w14:paraId="2C7EB83E">
      <w:pPr>
        <w:keepNext w:val="0"/>
        <w:keepLines w:val="0"/>
        <w:widowControl w:val="0"/>
        <w:suppressLineNumbers w:val="0"/>
        <w:tabs>
          <w:tab w:val="left" w:pos="0"/>
          <w:tab w:val="left" w:pos="2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9.1投标人应保证采购人在使用该货物或其任何一部分时，免受第三方提出的侵犯其专利权、商标权、著作权或其它知识产权的起诉。投标人保证所提供软件的合法性，所发生的任何知识产权纠纷与采购人无关。</w:t>
      </w:r>
    </w:p>
    <w:p w14:paraId="5D97AC5F">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9.2采购人购买产品后，有权对该产品与其他设备进行配套、整合或适当改进，而免受侵犯专利权的起诉。</w:t>
      </w:r>
    </w:p>
    <w:p w14:paraId="3D6537FB">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10.违约责任：</w:t>
      </w:r>
    </w:p>
    <w:p w14:paraId="0B201552">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10.1如投标人未按照投标文件中承诺的时间交货或提供服务，投标人应承担延期交货和延期服务的违约责任，并赔偿采购人因此造成的实际经济损失。</w:t>
      </w:r>
    </w:p>
    <w:p w14:paraId="3BD456EF">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10.2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79083BA7">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10.3投标人不能交付产品时，投标人向采购人偿付项目采购金额千分之二十（千分之十以上千分之二十以下）的违约金；造成严重后果的，根据《深圳经济特区政府采购条例》第五十七条第（二）款规定，由主管部门对中标人进行处罚。</w:t>
      </w:r>
    </w:p>
    <w:p w14:paraId="11F6FA34">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★11.其他商务要求：</w:t>
      </w:r>
    </w:p>
    <w:p w14:paraId="0DE58D3C">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11.1中标公司无条件配合医院SPD物流精细化管理服务，同时承诺支付每月管理服务费(不超当月供货总额的3%)，具体与医院签合同时按合同条款执行。</w:t>
      </w: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FD5AC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BA496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C32CB1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0DD1D0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CA1FFA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25503E5">
      <w:pPr>
        <w:rPr>
          <w:rFonts w:hint="eastAsia" w:asciiTheme="majorEastAsia" w:hAnsiTheme="majorEastAsia" w:eastAsiaTheme="majorEastAsia" w:cstheme="majorEastAsia"/>
          <w:kern w:val="2"/>
          <w:sz w:val="32"/>
          <w:szCs w:val="32"/>
          <w:lang w:val="en-US" w:eastAsia="zh-CN" w:bidi="ar-SA"/>
        </w:rPr>
      </w:pPr>
    </w:p>
    <w:p w14:paraId="36802B21">
      <w:pPr>
        <w:rPr>
          <w:rFonts w:hint="eastAsia" w:asciiTheme="majorEastAsia" w:hAnsiTheme="majorEastAsia" w:eastAsiaTheme="majorEastAsia" w:cstheme="majorEastAsia"/>
          <w:kern w:val="2"/>
          <w:sz w:val="32"/>
          <w:szCs w:val="32"/>
          <w:lang w:val="en-US" w:eastAsia="zh-CN" w:bidi="ar-SA"/>
        </w:rPr>
      </w:pPr>
    </w:p>
    <w:p w14:paraId="273B822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6C4D6CB3">
      <w:pPr>
        <w:rPr>
          <w:rFonts w:hint="eastAsia" w:asciiTheme="majorEastAsia" w:hAnsiTheme="majorEastAsia" w:eastAsiaTheme="majorEastAsia" w:cstheme="majorEastAsia"/>
          <w:kern w:val="2"/>
          <w:sz w:val="32"/>
          <w:szCs w:val="32"/>
          <w:lang w:val="en-US" w:eastAsia="zh-CN" w:bidi="ar-SA"/>
        </w:rPr>
      </w:pPr>
    </w:p>
    <w:p w14:paraId="0A3F5595">
      <w:pPr>
        <w:rPr>
          <w:rFonts w:hint="eastAsia" w:asciiTheme="majorEastAsia" w:hAnsiTheme="majorEastAsia" w:eastAsiaTheme="majorEastAsia" w:cstheme="majorEastAsia"/>
          <w:kern w:val="2"/>
          <w:sz w:val="32"/>
          <w:szCs w:val="32"/>
          <w:lang w:val="en-US" w:eastAsia="zh-CN" w:bidi="ar-SA"/>
        </w:rPr>
      </w:pPr>
    </w:p>
    <w:p w14:paraId="6A90A80A">
      <w:pPr>
        <w:rPr>
          <w:rFonts w:hint="eastAsia" w:asciiTheme="majorEastAsia" w:hAnsiTheme="majorEastAsia" w:eastAsiaTheme="majorEastAsia" w:cstheme="majorEastAsia"/>
          <w:kern w:val="2"/>
          <w:sz w:val="32"/>
          <w:szCs w:val="32"/>
          <w:lang w:val="en-US" w:eastAsia="zh-CN" w:bidi="ar-SA"/>
        </w:rPr>
      </w:pPr>
    </w:p>
    <w:p w14:paraId="24A40958">
      <w:pPr>
        <w:rPr>
          <w:rFonts w:hint="eastAsia" w:asciiTheme="majorEastAsia" w:hAnsiTheme="majorEastAsia" w:eastAsiaTheme="majorEastAsia" w:cstheme="majorEastAsia"/>
          <w:kern w:val="2"/>
          <w:sz w:val="32"/>
          <w:szCs w:val="32"/>
          <w:lang w:val="en-US" w:eastAsia="zh-CN" w:bidi="ar-SA"/>
        </w:rPr>
      </w:pPr>
    </w:p>
    <w:p w14:paraId="35DBF416">
      <w:pPr>
        <w:rPr>
          <w:rFonts w:hint="eastAsia" w:asciiTheme="majorEastAsia" w:hAnsiTheme="majorEastAsia" w:eastAsiaTheme="majorEastAsia" w:cstheme="majorEastAsia"/>
          <w:kern w:val="2"/>
          <w:sz w:val="32"/>
          <w:szCs w:val="32"/>
          <w:lang w:val="en-US" w:eastAsia="zh-CN" w:bidi="ar-SA"/>
        </w:rPr>
      </w:pPr>
    </w:p>
    <w:p w14:paraId="6BC74C40">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24015563"/>
      <w:bookmarkStart w:id="11" w:name="_Toc10794"/>
      <w:bookmarkStart w:id="12" w:name="_Toc1988"/>
      <w:bookmarkStart w:id="13" w:name="_Toc15209"/>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谈判文件</w:t>
            </w:r>
            <w:r>
              <w:rPr>
                <w:rFonts w:hint="eastAsia" w:ascii="宋体" w:hAnsi="宋体" w:eastAsia="宋体" w:cs="宋体"/>
                <w:sz w:val="21"/>
                <w:szCs w:val="21"/>
              </w:rPr>
              <w:t>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谈判文件</w:t>
            </w:r>
            <w:r>
              <w:rPr>
                <w:rFonts w:hint="eastAsia" w:ascii="宋体" w:hAnsi="宋体" w:eastAsia="宋体" w:cs="宋体"/>
                <w:sz w:val="21"/>
                <w:szCs w:val="21"/>
              </w:rPr>
              <w:t>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要求的（是否实质性满足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规定的项目需求内容或者需求数量进行修改，未填写所投货物的品牌、规格、型号、制造商、原产地），由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谈判</w:t>
            </w:r>
            <w:r>
              <w:rPr>
                <w:rFonts w:hint="eastAsia" w:ascii="宋体" w:hAnsi="宋体" w:eastAsia="宋体" w:cs="宋体"/>
                <w:sz w:val="21"/>
                <w:szCs w:val="21"/>
              </w:rPr>
              <w:t>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28"/>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20C3ED56">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1F998CB9">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开标时，由采购人党委办公室工作人员检查投标文件的密封情况；经确认无误后，由采购人工作人员当众拆封，宣布投标人名称、投标价格和谈判文件规定的需要宣布的其他内容。</w:t>
      </w:r>
    </w:p>
    <w:p w14:paraId="26ACA9AD">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533E4C4A">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28"/>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谈判小组的组成</w:t>
      </w:r>
    </w:p>
    <w:p w14:paraId="37D6B069">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67C619BD">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02FB6B10">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542BB16E">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23CAEED7">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150E7F1E">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561C8556">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5577CEF1">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7B9BC99D">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74B7EB57">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审查、评价投标文件是否符合谈判文件的商务、技术等实质性要求；</w:t>
      </w:r>
    </w:p>
    <w:p w14:paraId="78A1EB1E">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1EDABF01">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60C16CB5">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1FD41E0A">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01E6DAA">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20AE602">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18D7DA7F">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76F2A36F">
      <w:pPr>
        <w:pStyle w:val="28"/>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28"/>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谈判文件</w:t>
      </w:r>
      <w:r>
        <w:rPr>
          <w:rFonts w:hint="eastAsia" w:ascii="宋体" w:hAnsi="宋体" w:cs="宋体"/>
          <w:szCs w:val="21"/>
        </w:rPr>
        <w:t>的规定，对投标文件中的资格证明等进行审查，以确定投标供应商是否具备投标资格。符合性检查：依据</w:t>
      </w:r>
      <w:r>
        <w:rPr>
          <w:rFonts w:hint="eastAsia" w:ascii="宋体" w:hAnsi="宋体" w:cs="宋体"/>
          <w:szCs w:val="21"/>
          <w:lang w:eastAsia="zh-CN"/>
        </w:rPr>
        <w:t>谈判文件</w:t>
      </w:r>
      <w:r>
        <w:rPr>
          <w:rFonts w:hint="eastAsia" w:ascii="宋体" w:hAnsi="宋体" w:cs="宋体"/>
          <w:szCs w:val="21"/>
        </w:rPr>
        <w:t>的规定，从投标文件的有效性、完整性和对</w:t>
      </w:r>
      <w:r>
        <w:rPr>
          <w:rFonts w:hint="eastAsia" w:ascii="宋体" w:hAnsi="宋体" w:cs="宋体"/>
          <w:szCs w:val="21"/>
          <w:lang w:eastAsia="zh-CN"/>
        </w:rPr>
        <w:t>谈判文件</w:t>
      </w:r>
      <w:r>
        <w:rPr>
          <w:rFonts w:hint="eastAsia" w:ascii="宋体" w:hAnsi="宋体" w:cs="宋体"/>
          <w:szCs w:val="21"/>
        </w:rPr>
        <w:t>的响应程度进行审查，以确定是否对</w:t>
      </w:r>
      <w:r>
        <w:rPr>
          <w:rFonts w:hint="eastAsia" w:ascii="宋体" w:hAnsi="宋体" w:cs="宋体"/>
          <w:szCs w:val="21"/>
          <w:lang w:eastAsia="zh-CN"/>
        </w:rPr>
        <w:t>谈判文件</w:t>
      </w:r>
      <w:r>
        <w:rPr>
          <w:rFonts w:hint="eastAsia" w:ascii="宋体" w:hAnsi="宋体" w:cs="宋体"/>
          <w:szCs w:val="21"/>
        </w:rPr>
        <w:t>的实质性要求作出响应。</w:t>
      </w:r>
    </w:p>
    <w:p w14:paraId="5F6A3FC9">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谈判小组</w:t>
      </w:r>
      <w:r>
        <w:rPr>
          <w:rFonts w:hint="eastAsia" w:ascii="宋体" w:hAnsi="宋体" w:cs="宋体"/>
          <w:szCs w:val="21"/>
        </w:rPr>
        <w:t>按照</w:t>
      </w:r>
      <w:r>
        <w:rPr>
          <w:rFonts w:hint="eastAsia" w:ascii="宋体" w:hAnsi="宋体" w:cs="宋体"/>
          <w:szCs w:val="21"/>
          <w:lang w:eastAsia="zh-CN"/>
        </w:rPr>
        <w:t>谈判文件</w:t>
      </w:r>
      <w:r>
        <w:rPr>
          <w:rFonts w:hint="eastAsia" w:ascii="宋体" w:hAnsi="宋体" w:cs="宋体"/>
          <w:szCs w:val="21"/>
        </w:rPr>
        <w:t>规定的方式确定一个参加评审的投标人，</w:t>
      </w:r>
      <w:r>
        <w:rPr>
          <w:rFonts w:hint="eastAsia" w:ascii="宋体" w:hAnsi="宋体" w:cs="宋体"/>
          <w:szCs w:val="21"/>
          <w:lang w:eastAsia="zh-CN"/>
        </w:rPr>
        <w:t>谈判文件</w:t>
      </w:r>
      <w:r>
        <w:rPr>
          <w:rFonts w:hint="eastAsia" w:ascii="宋体" w:hAnsi="宋体" w:cs="宋体"/>
          <w:szCs w:val="21"/>
        </w:rPr>
        <w:t>未规定的采取随机抽取方式确定，其他投标无效。</w:t>
      </w:r>
    </w:p>
    <w:p w14:paraId="43B1EC83">
      <w:pPr>
        <w:pStyle w:val="28"/>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w:t>
      </w:r>
    </w:p>
    <w:p w14:paraId="41233814">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实质性要求，按照报价由低到高的顺序，依据</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中规定的数量或者比例推荐候选中标供应商。</w:t>
      </w:r>
    </w:p>
    <w:p w14:paraId="3B996B8D">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6EFC7327">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3BAE3874">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54DF4B23">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169CBD49">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71112480">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5CDF999E">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5"/>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谈判小组</w:t>
      </w:r>
      <w:r>
        <w:rPr>
          <w:rFonts w:hint="eastAsia" w:ascii="宋体" w:hAnsi="宋体" w:eastAsiaTheme="minorEastAsia" w:cstheme="minorBidi"/>
          <w:color w:val="auto"/>
          <w:kern w:val="2"/>
          <w:sz w:val="21"/>
          <w:szCs w:val="21"/>
          <w:lang w:val="en-US" w:eastAsia="zh-CN" w:bidi="ar-SA"/>
        </w:rPr>
        <w:t>按</w:t>
      </w:r>
      <w:r>
        <w:rPr>
          <w:rFonts w:hint="eastAsia" w:ascii="宋体" w:hAnsi="宋体" w:cstheme="minorBidi"/>
          <w:color w:val="auto"/>
          <w:kern w:val="2"/>
          <w:sz w:val="21"/>
          <w:szCs w:val="21"/>
          <w:lang w:val="en-US" w:eastAsia="zh-CN" w:bidi="ar-SA"/>
        </w:rPr>
        <w:t>谈判文件</w:t>
      </w:r>
      <w:r>
        <w:rPr>
          <w:rFonts w:hint="eastAsia" w:ascii="宋体" w:hAnsi="宋体" w:eastAsiaTheme="minorEastAsia" w:cstheme="minorBidi"/>
          <w:color w:val="auto"/>
          <w:kern w:val="2"/>
          <w:sz w:val="21"/>
          <w:szCs w:val="21"/>
          <w:lang w:val="en-US" w:eastAsia="zh-CN" w:bidi="ar-SA"/>
        </w:rPr>
        <w:t>中规定的评标方法和标准，对资格性检查和符合性检查合格且报价不超过预算控制金额的投标文件进行商务和技术评审，综合比较与评价。</w:t>
      </w:r>
    </w:p>
    <w:p w14:paraId="52D57BCD">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谈判小组</w:t>
      </w:r>
      <w:r>
        <w:rPr>
          <w:rFonts w:hint="eastAsia" w:ascii="宋体" w:hAnsi="宋体" w:eastAsiaTheme="minorEastAsia" w:cstheme="minorBidi"/>
          <w:color w:val="auto"/>
          <w:kern w:val="2"/>
          <w:sz w:val="21"/>
          <w:szCs w:val="21"/>
          <w:lang w:val="en-US" w:eastAsia="zh-CN" w:bidi="ar-SA"/>
        </w:rPr>
        <w:t>成员对需要共同认定的事项存在争议的，应当按照少数服从多数的原则作出结论。持不同意见的</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成员应当书面作出说明，否则视为无异议。</w:t>
      </w:r>
    </w:p>
    <w:p w14:paraId="699B21F8">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有权决定是否对本项目投标人进行实地考察或资料查验（原件）。投标人应随时做好接受实地考察或资料查验的准备。</w:t>
      </w:r>
    </w:p>
    <w:p w14:paraId="792D8501">
      <w:pPr>
        <w:pStyle w:val="25"/>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谈判</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5"/>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5823CF4D">
      <w:pPr>
        <w:pStyle w:val="28"/>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投标人存在下列情况之一的，投标无效：</w:t>
      </w:r>
    </w:p>
    <w:p w14:paraId="23B61DA4">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谈判文件</w:t>
      </w:r>
      <w:r>
        <w:rPr>
          <w:rFonts w:hint="eastAsia" w:ascii="宋体" w:hAnsi="宋体"/>
          <w:szCs w:val="21"/>
        </w:rPr>
        <w:t>要求签署、盖章的；</w:t>
      </w:r>
    </w:p>
    <w:p w14:paraId="6450B8AF">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谈判文件</w:t>
      </w:r>
      <w:r>
        <w:rPr>
          <w:rFonts w:hint="eastAsia" w:ascii="宋体" w:hAnsi="宋体"/>
          <w:szCs w:val="21"/>
        </w:rPr>
        <w:t>中规定的资格要求的；</w:t>
      </w:r>
    </w:p>
    <w:p w14:paraId="597D92E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谈判文件</w:t>
      </w:r>
      <w:r>
        <w:rPr>
          <w:rFonts w:hint="eastAsia" w:ascii="宋体" w:hAnsi="宋体"/>
          <w:szCs w:val="21"/>
        </w:rPr>
        <w:t>中规定的预算金额或者最高限价的；</w:t>
      </w:r>
    </w:p>
    <w:p w14:paraId="02B07588">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28"/>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谈判文件</w:t>
      </w:r>
      <w:r>
        <w:rPr>
          <w:rFonts w:hint="eastAsia" w:ascii="宋体" w:hAnsi="宋体"/>
          <w:szCs w:val="21"/>
        </w:rPr>
        <w:t>规定的其他无效情形。</w:t>
      </w:r>
    </w:p>
    <w:p w14:paraId="12DCD88F">
      <w:pPr>
        <w:pStyle w:val="28"/>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6.2. </w:t>
      </w:r>
      <w:r>
        <w:rPr>
          <w:rFonts w:ascii="宋体" w:hAnsi="宋体"/>
          <w:szCs w:val="21"/>
        </w:rPr>
        <w:t>在</w:t>
      </w:r>
      <w:r>
        <w:rPr>
          <w:rFonts w:hint="eastAsia" w:ascii="宋体" w:hAnsi="宋体"/>
          <w:szCs w:val="21"/>
          <w:lang w:eastAsia="zh-CN"/>
        </w:rPr>
        <w:t>谈判</w:t>
      </w:r>
      <w:r>
        <w:rPr>
          <w:rFonts w:ascii="宋体" w:hAnsi="宋体"/>
          <w:szCs w:val="21"/>
        </w:rPr>
        <w:t>采购中，出现下列情形之一的，应予废标</w:t>
      </w:r>
      <w:r>
        <w:rPr>
          <w:rFonts w:hint="eastAsia" w:ascii="宋体" w:hAnsi="宋体"/>
          <w:szCs w:val="21"/>
          <w:lang w:eastAsia="zh-CN"/>
        </w:rPr>
        <w:t>：</w:t>
      </w:r>
    </w:p>
    <w:p w14:paraId="3AFC5530">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谈判文件</w:t>
      </w:r>
      <w:r>
        <w:rPr>
          <w:rFonts w:ascii="宋体" w:hAnsi="宋体"/>
          <w:szCs w:val="21"/>
        </w:rPr>
        <w:t>作实质响应的供应商不足三家的；</w:t>
      </w:r>
    </w:p>
    <w:p w14:paraId="495F6BE3">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28"/>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09AD85D9">
      <w:pPr>
        <w:pStyle w:val="28"/>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该项目中标候选供应商数量为一家。</w:t>
      </w:r>
    </w:p>
    <w:p w14:paraId="54B4AF37">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7.2. 本项目不安排现场踏勘。</w:t>
      </w:r>
    </w:p>
    <w:p w14:paraId="3F001B43">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7.3. 本项目不安排现场演示。</w:t>
      </w:r>
    </w:p>
    <w:p w14:paraId="26CC7918">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7.4. 本项目资金来源为自筹资金。</w:t>
      </w:r>
    </w:p>
    <w:p w14:paraId="1146D06E">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7.5. 本项目投标有效期从提交投标文件的截止之日起120日历日内有效。</w:t>
      </w:r>
    </w:p>
    <w:p w14:paraId="3CAB0B6D">
      <w:pPr>
        <w:pStyle w:val="28"/>
        <w:widowControl/>
        <w:numPr>
          <w:ilvl w:val="0"/>
          <w:numId w:val="0"/>
        </w:numPr>
        <w:spacing w:line="360" w:lineRule="auto"/>
        <w:ind w:leftChars="0"/>
        <w:jc w:val="left"/>
        <w:rPr>
          <w:rFonts w:hint="default" w:asciiTheme="minorEastAsia" w:hAnsiTheme="minorEastAsia"/>
          <w:szCs w:val="21"/>
          <w:lang w:val="en-US" w:eastAsia="zh-CN"/>
        </w:rPr>
      </w:pPr>
      <w:r>
        <w:rPr>
          <w:rFonts w:hint="eastAsia" w:cs="Arial" w:asciiTheme="minorEastAsia" w:hAnsiTheme="minorEastAsia"/>
          <w:bCs/>
          <w:kern w:val="0"/>
          <w:szCs w:val="21"/>
          <w:lang w:val="en-US" w:eastAsia="zh-CN"/>
        </w:rPr>
        <w:t>7.6. 本项目不允许提交备选方案或替代方案。</w:t>
      </w:r>
    </w:p>
    <w:p w14:paraId="5135212C">
      <w:pPr>
        <w:pStyle w:val="28"/>
        <w:widowControl/>
        <w:numPr>
          <w:ilvl w:val="0"/>
          <w:numId w:val="0"/>
        </w:numPr>
        <w:spacing w:line="360" w:lineRule="auto"/>
        <w:ind w:leftChars="0"/>
        <w:jc w:val="left"/>
        <w:rPr>
          <w:rFonts w:hint="default" w:asciiTheme="minorEastAsia" w:hAnsiTheme="minorEastAsia"/>
          <w:szCs w:val="21"/>
          <w:lang w:val="en-US" w:eastAsia="zh-CN"/>
        </w:rPr>
      </w:pPr>
      <w:r>
        <w:rPr>
          <w:rFonts w:hint="eastAsia" w:cs="Arial" w:asciiTheme="minorEastAsia" w:hAnsiTheme="minorEastAsia"/>
          <w:bCs/>
          <w:kern w:val="0"/>
          <w:szCs w:val="21"/>
          <w:lang w:val="en-US" w:eastAsia="zh-CN"/>
        </w:rPr>
        <w:t>7.7. 本项目评标方法为最低价法。</w:t>
      </w:r>
    </w:p>
    <w:p w14:paraId="5DAAFA88">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5AC2272">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16CC451">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99792C">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512776C6">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6758F89">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2602D7B">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428CAB2A">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7201D93">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DA20980">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56CFFBA">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FC13EA8">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E619B4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03A4207">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9848A2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4535685E">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04291F22">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16" w:name="_Toc26388"/>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25542"/>
      <w:bookmarkStart w:id="18" w:name="_Toc6779"/>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9213"/>
      <w:bookmarkStart w:id="20" w:name="_Toc21714"/>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谈判文件</w:t>
            </w:r>
            <w:r>
              <w:rPr>
                <w:rFonts w:hint="eastAsia" w:ascii="宋体" w:hAnsi="宋体" w:eastAsia="宋体" w:cs="宋体"/>
                <w:sz w:val="21"/>
                <w:szCs w:val="21"/>
              </w:rPr>
              <w:t>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谈判文件</w:t>
            </w:r>
            <w:r>
              <w:rPr>
                <w:rFonts w:hint="eastAsia" w:ascii="宋体" w:hAnsi="宋体" w:eastAsia="宋体" w:cs="宋体"/>
                <w:sz w:val="21"/>
                <w:szCs w:val="21"/>
              </w:rPr>
              <w:t>的报价要求进行报价的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要求的（是否实质性满足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根据《实质性条款响应情况表》做出评判）</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规定的项目需求内容或者需求数量进行修改，未填写所投货物的品牌、规格、型号、制造商、原产地），由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根据《分项报价清单》做出评判）；</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谈判</w:t>
            </w:r>
            <w:r>
              <w:rPr>
                <w:rFonts w:hint="eastAsia" w:ascii="宋体" w:hAnsi="宋体" w:eastAsia="宋体" w:cs="宋体"/>
                <w:sz w:val="21"/>
                <w:szCs w:val="21"/>
              </w:rPr>
              <w:t>需求不能接受的条件</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20641"/>
      <w:bookmarkStart w:id="22" w:name="_Toc1526"/>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bookmarkStart w:id="23" w:name="_Toc30883"/>
      <w:bookmarkStart w:id="24" w:name="_Toc15495"/>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31601"/>
      <w:bookmarkStart w:id="26" w:name="_Toc5508"/>
      <w:r>
        <w:rPr>
          <w:rFonts w:hint="eastAsia" w:cs="宋体" w:asciiTheme="majorEastAsia" w:hAnsiTheme="majorEastAsia" w:eastAsiaTheme="majorEastAsia"/>
          <w:kern w:val="2"/>
          <w:sz w:val="30"/>
          <w:szCs w:val="30"/>
          <w:lang w:val="en-US" w:eastAsia="zh-CN" w:bidi="ar-SA"/>
        </w:rPr>
        <w:t>（五）诚信及信用信息证明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1CE2779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11281"/>
      <w:bookmarkStart w:id="28" w:name="_Toc2713"/>
      <w:bookmarkStart w:id="29" w:name="_Toc12322"/>
      <w:r>
        <w:rPr>
          <w:rFonts w:hint="eastAsia" w:cs="宋体" w:asciiTheme="majorEastAsia" w:hAnsiTheme="majorEastAsia" w:eastAsiaTheme="majorEastAsia"/>
          <w:kern w:val="2"/>
          <w:sz w:val="30"/>
          <w:szCs w:val="30"/>
          <w:lang w:val="en-US" w:eastAsia="zh-CN" w:bidi="ar-SA"/>
        </w:rPr>
        <w:t>（六）</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七</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3"/>
        <w:spacing w:before="120" w:after="120" w:line="276" w:lineRule="auto"/>
        <w:ind w:left="0" w:leftChars="0" w:firstLine="0" w:firstLineChars="0"/>
        <w:rPr>
          <w:rFonts w:hint="eastAsia"/>
          <w:b/>
          <w:color w:val="auto"/>
          <w:sz w:val="24"/>
        </w:rPr>
      </w:pPr>
    </w:p>
    <w:p w14:paraId="4B1D9CBC">
      <w:pPr>
        <w:pStyle w:val="33"/>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谈判</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r>
        <w:rPr>
          <w:rFonts w:hint="eastAsia"/>
          <w:b/>
          <w:bCs/>
          <w:color w:val="auto"/>
          <w:lang w:eastAsia="zh-CN"/>
        </w:rPr>
        <w:t>谈判文件</w:t>
      </w:r>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谈判文件</w:t>
      </w:r>
      <w:r>
        <w:rPr>
          <w:rFonts w:hint="eastAsia"/>
          <w:b/>
          <w:bCs/>
          <w:color w:val="auto"/>
        </w:rPr>
        <w:t>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谈判文件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谈判文件</w:t>
      </w:r>
      <w:r>
        <w:rPr>
          <w:rFonts w:hint="eastAsia" w:ascii="宋体" w:hAnsi="宋体" w:eastAsia="宋体" w:cs="宋体"/>
          <w:b/>
          <w:bCs/>
          <w:color w:val="auto"/>
          <w:sz w:val="21"/>
          <w:szCs w:val="21"/>
        </w:rPr>
        <w:t>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6893A0B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 xml:space="preserve">                              </w:t>
      </w:r>
    </w:p>
    <w:p w14:paraId="4C8F2CD5">
      <w:pPr>
        <w:spacing w:after="60" w:line="360" w:lineRule="exact"/>
        <w:jc w:val="center"/>
        <w:outlineLvl w:val="9"/>
        <w:rPr>
          <w:rFonts w:hint="eastAsia" w:asciiTheme="minorEastAsia" w:hAnsiTheme="minorEastAsia" w:eastAsiaTheme="minorEastAsia"/>
          <w:lang w:val="en-US" w:eastAsia="zh-CN"/>
        </w:rPr>
      </w:pPr>
      <w:r>
        <w:rPr>
          <w:rFonts w:hint="eastAsia"/>
          <w:b/>
          <w:color w:val="auto"/>
          <w:lang w:val="en-US" w:eastAsia="zh-CN"/>
        </w:rPr>
        <w:t>4、《关于符合本国产品标准的声明函》</w:t>
      </w:r>
    </w:p>
    <w:p w14:paraId="7394D0B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Theme="minorEastAsia" w:cstheme="minorBidi"/>
          <w:b/>
          <w:color w:val="auto"/>
          <w:kern w:val="2"/>
          <w:sz w:val="21"/>
          <w:szCs w:val="21"/>
          <w:lang w:val="en-US" w:eastAsia="zh-CN" w:bidi="ar-SA"/>
        </w:rPr>
      </w:pPr>
      <w:r>
        <w:rPr>
          <w:rFonts w:hint="eastAsia" w:ascii="宋体" w:hAnsi="宋体" w:eastAsiaTheme="minorEastAsia" w:cstheme="minorBidi"/>
          <w:b/>
          <w:color w:val="auto"/>
          <w:kern w:val="2"/>
          <w:sz w:val="21"/>
          <w:szCs w:val="21"/>
          <w:lang w:val="en-US" w:eastAsia="zh-CN" w:bidi="ar-SA"/>
        </w:rPr>
        <w:t>关于符合本国产品标准的声明函</w:t>
      </w:r>
    </w:p>
    <w:p w14:paraId="15832DE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D8A3EA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84A68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766378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w:t>
      </w:r>
    </w:p>
    <w:p w14:paraId="5A64CD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本公司（单位）对上述声明内容的真实性负责。如有虚假，愿承担相应法律责任。</w:t>
      </w:r>
    </w:p>
    <w:p w14:paraId="414C59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p>
    <w:p w14:paraId="2EE5A33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p>
    <w:p w14:paraId="084E73B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公司（单位）名称（盖章）：</w:t>
      </w:r>
    </w:p>
    <w:p w14:paraId="4D6961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日期：     年  月  日</w:t>
      </w:r>
    </w:p>
    <w:p w14:paraId="17347D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333333"/>
          <w:spacing w:val="0"/>
          <w:sz w:val="24"/>
          <w:szCs w:val="24"/>
        </w:rPr>
      </w:pPr>
    </w:p>
    <w:p w14:paraId="5471600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_____________________________</w:t>
      </w:r>
    </w:p>
    <w:p w14:paraId="410898D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1.产品如有型号，请在“产品名称”栏一并填写。</w:t>
      </w:r>
    </w:p>
    <w:p w14:paraId="72AB10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2.生产厂名与厂址应与生产厂营业执照载明的相关信息保持一致。</w:t>
      </w:r>
    </w:p>
    <w:p w14:paraId="43DBA6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3.该产品的中国境内生产的组件成本占比相关要求实施前，“规定比例”栏可不填，下同。</w:t>
      </w:r>
    </w:p>
    <w:p w14:paraId="277485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4.该产品的关键组件要求实施前，“关键组件”栏可不填，下同。</w:t>
      </w:r>
    </w:p>
    <w:p w14:paraId="55D3C7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5.该产品的关键工序要求实施前，“关键工序”栏可不填，下同。</w:t>
      </w:r>
    </w:p>
    <w:p w14:paraId="08B3A04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p>
    <w:p w14:paraId="5ADB04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注：供应商对其提供的本国产品按照《深圳市财政局关于贯彻落实政府采购本国产品标准及相关政策的通知》（深财购〔2025〕69号）中的格式要求，出具《关于符合本国产品标准的声明函》。</w:t>
      </w:r>
    </w:p>
    <w:p w14:paraId="1F8E97AE">
      <w:pPr>
        <w:jc w:val="center"/>
        <w:rPr>
          <w:rFonts w:hint="eastAsia" w:asciiTheme="minorEastAsia" w:hAnsiTheme="minorEastAsia" w:cstheme="minorEastAsia"/>
          <w:b/>
          <w:bCs/>
          <w:sz w:val="28"/>
          <w:szCs w:val="28"/>
          <w:lang w:eastAsia="zh-CN"/>
        </w:rPr>
      </w:pP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7F5F130A">
      <w:pPr>
        <w:jc w:val="center"/>
        <w:rPr>
          <w:rFonts w:hint="eastAsia" w:cs="宋体" w:asciiTheme="majorEastAsia" w:hAnsiTheme="majorEastAsia" w:eastAsiaTheme="majorEastAsia"/>
          <w:kern w:val="2"/>
          <w:sz w:val="30"/>
          <w:szCs w:val="30"/>
          <w:lang w:val="en-US" w:eastAsia="zh-CN" w:bidi="ar-SA"/>
        </w:rPr>
      </w:pPr>
    </w:p>
    <w:p w14:paraId="543322F5">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default" w:cs="宋体" w:asciiTheme="majorEastAsia" w:hAnsiTheme="majorEastAsia" w:eastAsiaTheme="majorEastAsia"/>
          <w:kern w:val="2"/>
          <w:sz w:val="30"/>
          <w:szCs w:val="30"/>
          <w:lang w:val="en-US" w:eastAsia="zh-CN" w:bidi="ar-SA"/>
        </w:rPr>
      </w:pPr>
      <w:bookmarkStart w:id="31" w:name="_Toc29547"/>
      <w:r>
        <w:rPr>
          <w:rFonts w:hint="eastAsia" w:cs="宋体" w:asciiTheme="majorEastAsia" w:hAnsiTheme="majorEastAsia" w:eastAsiaTheme="majorEastAsia"/>
          <w:kern w:val="2"/>
          <w:sz w:val="30"/>
          <w:szCs w:val="30"/>
          <w:lang w:val="en-US" w:eastAsia="zh-CN" w:bidi="ar-SA"/>
        </w:rPr>
        <w:t>（八）福田区第二人民医院</w:t>
      </w:r>
      <w:bookmarkEnd w:id="31"/>
      <w:r>
        <w:rPr>
          <w:rFonts w:hint="eastAsia" w:cs="宋体" w:asciiTheme="majorEastAsia" w:hAnsiTheme="majorEastAsia" w:eastAsiaTheme="majorEastAsia"/>
          <w:kern w:val="2"/>
          <w:sz w:val="30"/>
          <w:szCs w:val="30"/>
          <w:lang w:val="en-US" w:eastAsia="zh-CN" w:bidi="ar-SA"/>
        </w:rPr>
        <w:t>开标一栏表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739D0585">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投标人签字：                     </w:t>
      </w:r>
    </w:p>
    <w:p w14:paraId="48EF567C">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投标人单位名称：                             </w:t>
      </w:r>
    </w:p>
    <w:p w14:paraId="74918F9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（此处加盖投标人单位公章）</w:t>
      </w:r>
    </w:p>
    <w:p w14:paraId="0497A76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日期：       年     月    日</w:t>
      </w:r>
    </w:p>
    <w:p w14:paraId="7AD87F0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 </w:t>
      </w:r>
    </w:p>
    <w:p w14:paraId="723F501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备注：</w:t>
      </w:r>
    </w:p>
    <w:p w14:paraId="7FFE6126">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除谈判文件另有规定外，投标文件内不得含有任何对本报价进行价格折扣的说明或资料，否则为无效投标。</w:t>
      </w:r>
    </w:p>
    <w:p w14:paraId="6BB05E55">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投标报价不得超过用户需求书的最小单位预算价格，否则为无效投标。</w:t>
      </w:r>
    </w:p>
    <w:p w14:paraId="579FB6BF">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投标人须按要求填写所有信息，不得随意更改本表格式。</w:t>
      </w:r>
    </w:p>
    <w:p w14:paraId="5A9E8E80">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此表是投标文件的必要文件，是投标文件的组成部分，封装在一个信封中，作为唱标之用。</w:t>
      </w:r>
    </w:p>
    <w:p w14:paraId="601DB282">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政府采购货物和服务谈判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14:paraId="1F60E132">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详细填写所投货物的制造商名称；若所投产品属于定制类的非量产货物或无具体品牌型号的货物，可以不填写品牌、型号等信息，但应当标注投标产品为定制产品。谈判文件已要求提供核心产品的，供应商必须明确所投核心产品的品牌。</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15F15449">
      <w:pPr>
        <w:spacing w:afterLines="25" w:line="300" w:lineRule="auto"/>
        <w:jc w:val="both"/>
        <w:rPr>
          <w:rFonts w:hint="eastAsia" w:ascii="宋体" w:hAnsi="宋体" w:cs="Arial"/>
          <w:b/>
          <w:color w:val="000000"/>
          <w:sz w:val="28"/>
          <w:szCs w:val="28"/>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2" w:name="_Toc1891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2"/>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谈判技术要求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谈判文件</w:t>
      </w:r>
      <w:r>
        <w:rPr>
          <w:rFonts w:hint="eastAsia" w:ascii="宋体" w:hAnsi="宋体"/>
          <w:szCs w:val="21"/>
        </w:rPr>
        <w:t>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3" w:name="_Toc29077"/>
      <w:bookmarkStart w:id="34" w:name="_Toc20322_WPSOffice_Level1"/>
      <w:bookmarkStart w:id="35" w:name="_Toc24434"/>
      <w:bookmarkStart w:id="36" w:name="_Toc435515294"/>
      <w:bookmarkStart w:id="37" w:name="_Toc275865605"/>
      <w:bookmarkStart w:id="38" w:name="_Toc9447"/>
      <w:bookmarkStart w:id="39" w:name="_Toc1762"/>
      <w:bookmarkStart w:id="40" w:name="_Toc435514854"/>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3"/>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谈判</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谈判</w:t>
      </w:r>
      <w:r>
        <w:rPr>
          <w:rFonts w:hint="eastAsia" w:ascii="宋体" w:hAnsi="宋体"/>
          <w:szCs w:val="21"/>
        </w:rPr>
        <w:t>商务要求”，详细填写自身响应情况，而不能不合理照搬照抄</w:t>
      </w:r>
      <w:r>
        <w:rPr>
          <w:rFonts w:hint="eastAsia" w:ascii="宋体" w:hAnsi="宋体"/>
          <w:szCs w:val="21"/>
          <w:lang w:eastAsia="zh-CN"/>
        </w:rPr>
        <w:t>谈判文件</w:t>
      </w:r>
      <w:r>
        <w:rPr>
          <w:rFonts w:hint="eastAsia" w:ascii="宋体" w:hAnsi="宋体"/>
          <w:szCs w:val="21"/>
        </w:rPr>
        <w:t>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谈判</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谈判</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谈判</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谈判</w:t>
      </w:r>
      <w:r>
        <w:rPr>
          <w:rFonts w:hint="eastAsia" w:ascii="宋体" w:hAnsi="宋体"/>
          <w:szCs w:val="21"/>
        </w:rPr>
        <w:t>商务要求”存在响应不全（包括未响应整项</w:t>
      </w:r>
      <w:r>
        <w:rPr>
          <w:rFonts w:hint="eastAsia" w:ascii="宋体" w:hAnsi="宋体"/>
          <w:szCs w:val="21"/>
          <w:lang w:eastAsia="zh-CN"/>
        </w:rPr>
        <w:t>谈判</w:t>
      </w:r>
      <w:r>
        <w:rPr>
          <w:rFonts w:hint="eastAsia" w:ascii="宋体" w:hAnsi="宋体"/>
          <w:szCs w:val="21"/>
        </w:rPr>
        <w:t>商务要求或者未响应一项</w:t>
      </w:r>
      <w:r>
        <w:rPr>
          <w:rFonts w:hint="eastAsia" w:ascii="宋体" w:hAnsi="宋体"/>
          <w:szCs w:val="21"/>
          <w:lang w:eastAsia="zh-CN"/>
        </w:rPr>
        <w:t>谈判</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1" w:name="_Toc28894"/>
      <w:r>
        <w:rPr>
          <w:rFonts w:hint="eastAsia" w:cs="宋体" w:asciiTheme="majorEastAsia" w:hAnsiTheme="majorEastAsia" w:eastAsiaTheme="majorEastAsia"/>
          <w:b w:val="0"/>
          <w:kern w:val="2"/>
          <w:sz w:val="30"/>
          <w:szCs w:val="30"/>
          <w:lang w:val="en-US" w:eastAsia="zh-CN" w:bidi="ar-SA"/>
        </w:rPr>
        <w:t>（十一）投标函</w:t>
      </w:r>
      <w:bookmarkEnd w:id="34"/>
      <w:bookmarkEnd w:id="35"/>
      <w:bookmarkEnd w:id="36"/>
      <w:bookmarkEnd w:id="37"/>
      <w:bookmarkEnd w:id="38"/>
      <w:bookmarkEnd w:id="39"/>
      <w:bookmarkEnd w:id="40"/>
      <w:bookmarkEnd w:id="41"/>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谈判文件</w:t>
      </w:r>
      <w:r>
        <w:rPr>
          <w:rFonts w:hint="eastAsia" w:ascii="宋体" w:hAnsi="宋体"/>
        </w:rPr>
        <w:t>（项目编号：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谈判文件</w:t>
      </w:r>
      <w:r>
        <w:rPr>
          <w:rFonts w:hint="eastAsia" w:ascii="宋体" w:hAnsi="宋体"/>
          <w:b/>
        </w:rPr>
        <w:t>的各项规定，自愿参加投标，并已清楚</w:t>
      </w:r>
      <w:r>
        <w:rPr>
          <w:rFonts w:hint="eastAsia" w:ascii="宋体" w:hAnsi="宋体"/>
          <w:b/>
          <w:lang w:eastAsia="zh-CN"/>
        </w:rPr>
        <w:t>谈判文件</w:t>
      </w:r>
      <w:r>
        <w:rPr>
          <w:rFonts w:hint="eastAsia" w:ascii="宋体" w:hAnsi="宋体"/>
          <w:b/>
        </w:rPr>
        <w:t>的要求及有关文件规定，并严格按照</w:t>
      </w:r>
      <w:r>
        <w:rPr>
          <w:rFonts w:hint="eastAsia" w:ascii="宋体" w:hAnsi="宋体"/>
          <w:b/>
          <w:lang w:eastAsia="zh-CN"/>
        </w:rPr>
        <w:t>谈判文件</w:t>
      </w:r>
      <w:r>
        <w:rPr>
          <w:rFonts w:hint="eastAsia" w:ascii="宋体" w:hAnsi="宋体"/>
          <w:b/>
        </w:rPr>
        <w:t>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谈判文件</w:t>
      </w:r>
      <w:r>
        <w:rPr>
          <w:rFonts w:hint="eastAsia" w:ascii="宋体" w:hAnsi="宋体"/>
          <w:b/>
        </w:rPr>
        <w:t>及附件，包括澄清（如有）及参考文件，我单位完全理解本</w:t>
      </w:r>
      <w:r>
        <w:rPr>
          <w:rFonts w:hint="eastAsia" w:ascii="宋体" w:hAnsi="宋体"/>
          <w:b/>
          <w:lang w:eastAsia="zh-CN"/>
        </w:rPr>
        <w:t>谈判文件</w:t>
      </w:r>
      <w:r>
        <w:rPr>
          <w:rFonts w:hint="eastAsia" w:ascii="宋体" w:hAnsi="宋体"/>
          <w:b/>
        </w:rPr>
        <w:t>的要求，</w:t>
      </w:r>
      <w:r>
        <w:rPr>
          <w:rFonts w:hint="eastAsia" w:ascii="宋体"/>
          <w:b/>
        </w:rPr>
        <w:t>我单位同意放弃对</w:t>
      </w:r>
      <w:r>
        <w:rPr>
          <w:rFonts w:hint="eastAsia" w:ascii="宋体"/>
          <w:b/>
          <w:lang w:eastAsia="zh-CN"/>
        </w:rPr>
        <w:t>谈判文件</w:t>
      </w:r>
      <w:r>
        <w:rPr>
          <w:rFonts w:hint="eastAsia" w:ascii="宋体"/>
          <w:b/>
        </w:rPr>
        <w:t>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谈判文件</w:t>
      </w:r>
      <w:r>
        <w:rPr>
          <w:rFonts w:hint="eastAsia" w:ascii="宋体" w:hAnsi="宋体"/>
          <w:b/>
        </w:rPr>
        <w:t xml:space="preserve">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谈判文件</w:t>
      </w:r>
      <w:r>
        <w:rPr>
          <w:rFonts w:hint="eastAsia" w:ascii="宋体" w:hAnsi="宋体"/>
          <w:b/>
        </w:rPr>
        <w:t>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2" w:name="_Toc435514855"/>
      <w:bookmarkStart w:id="43" w:name="_Toc24650"/>
      <w:bookmarkStart w:id="44" w:name="_Toc4649"/>
      <w:bookmarkStart w:id="45" w:name="_Toc26831"/>
      <w:bookmarkStart w:id="46" w:name="_Toc275865606"/>
      <w:bookmarkStart w:id="47" w:name="_Toc7805"/>
      <w:bookmarkStart w:id="48" w:name="_Toc435515295"/>
      <w:r>
        <w:rPr>
          <w:rFonts w:hint="eastAsia" w:cs="宋体" w:asciiTheme="majorEastAsia" w:hAnsiTheme="majorEastAsia" w:eastAsiaTheme="majorEastAsia"/>
          <w:kern w:val="2"/>
          <w:sz w:val="30"/>
          <w:szCs w:val="30"/>
          <w:lang w:val="en-US" w:eastAsia="zh-CN" w:bidi="ar-SA"/>
        </w:rPr>
        <w:t>（十二）</w:t>
      </w:r>
      <w:r>
        <w:rPr>
          <w:rFonts w:hint="eastAsia" w:asciiTheme="majorEastAsia" w:hAnsiTheme="majorEastAsia" w:eastAsiaTheme="majorEastAsia"/>
          <w:sz w:val="30"/>
          <w:szCs w:val="30"/>
        </w:rPr>
        <w:t>投标人资格声明函</w:t>
      </w:r>
      <w:bookmarkEnd w:id="42"/>
      <w:bookmarkEnd w:id="43"/>
      <w:bookmarkEnd w:id="44"/>
      <w:bookmarkEnd w:id="45"/>
      <w:bookmarkEnd w:id="46"/>
      <w:bookmarkEnd w:id="47"/>
      <w:bookmarkEnd w:id="48"/>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5"/>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谈判</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谈判</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谈判文件</w:t>
      </w:r>
      <w:r>
        <w:rPr>
          <w:rFonts w:hint="eastAsia" w:ascii="宋体" w:hAnsi="宋体"/>
          <w:color w:val="auto"/>
          <w:szCs w:val="21"/>
          <w:highlight w:val="none"/>
        </w:rPr>
        <w:t>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谈判</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谈判</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谈判</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9" w:name="_承诺函"/>
      <w:bookmarkEnd w:id="49"/>
      <w:bookmarkStart w:id="50" w:name="_Toc32186"/>
      <w:bookmarkStart w:id="51" w:name="_Toc21707"/>
      <w:bookmarkStart w:id="52" w:name="_Toc50736477"/>
      <w:bookmarkStart w:id="53" w:name="_Toc435514859"/>
      <w:bookmarkStart w:id="54" w:name="_Toc50737297"/>
      <w:bookmarkStart w:id="55" w:name="_Toc52165081"/>
      <w:bookmarkStart w:id="56" w:name="_Toc275865607"/>
      <w:bookmarkStart w:id="57" w:name="_Toc435515299"/>
      <w:bookmarkStart w:id="58" w:name="_Toc27672"/>
      <w:bookmarkStart w:id="59" w:name="_Toc24149"/>
      <w:bookmarkStart w:id="60" w:name="_Toc50737329"/>
      <w:bookmarkStart w:id="61" w:name="_Toc50737296"/>
      <w:bookmarkStart w:id="62" w:name="_Toc50736476"/>
      <w:bookmarkStart w:id="63" w:name="_Toc50737328"/>
      <w:bookmarkStart w:id="64" w:name="_Toc50691034"/>
      <w:bookmarkStart w:id="65" w:name="_Toc52165080"/>
      <w:r>
        <w:rPr>
          <w:rFonts w:hint="eastAsia" w:cs="宋体" w:asciiTheme="majorEastAsia" w:hAnsiTheme="majorEastAsia" w:eastAsiaTheme="majorEastAsia"/>
          <w:kern w:val="2"/>
          <w:sz w:val="30"/>
          <w:szCs w:val="30"/>
          <w:lang w:val="en-US" w:eastAsia="zh-CN" w:bidi="ar-SA"/>
        </w:rPr>
        <w:t>（十三）政府采购违法行为风险知悉确认书</w:t>
      </w:r>
      <w:bookmarkEnd w:id="50"/>
      <w:bookmarkEnd w:id="51"/>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6"/>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6" w:name="_Toc24374"/>
      <w:bookmarkStart w:id="67" w:name="_Toc13791"/>
      <w:r>
        <w:rPr>
          <w:rFonts w:hint="eastAsia" w:cs="宋体" w:asciiTheme="majorEastAsia" w:hAnsiTheme="majorEastAsia" w:eastAsiaTheme="majorEastAsia"/>
          <w:kern w:val="2"/>
          <w:sz w:val="30"/>
          <w:szCs w:val="30"/>
          <w:lang w:val="en-US" w:eastAsia="zh-CN" w:bidi="ar-SA"/>
        </w:rPr>
        <w:t>（十四）</w:t>
      </w:r>
      <w:r>
        <w:rPr>
          <w:rFonts w:hint="eastAsia" w:asciiTheme="majorEastAsia" w:hAnsiTheme="majorEastAsia" w:eastAsiaTheme="majorEastAsia"/>
          <w:sz w:val="30"/>
          <w:szCs w:val="30"/>
        </w:rPr>
        <w:t>法定代表人授权委托书</w:t>
      </w:r>
      <w:bookmarkEnd w:id="52"/>
      <w:bookmarkEnd w:id="53"/>
      <w:bookmarkEnd w:id="54"/>
      <w:bookmarkEnd w:id="55"/>
      <w:bookmarkEnd w:id="56"/>
      <w:bookmarkEnd w:id="57"/>
      <w:bookmarkEnd w:id="58"/>
      <w:bookmarkEnd w:id="59"/>
      <w:bookmarkEnd w:id="60"/>
      <w:bookmarkEnd w:id="66"/>
      <w:bookmarkEnd w:id="67"/>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8" w:name="_Toc14289"/>
      <w:bookmarkStart w:id="69" w:name="_Toc275865608"/>
      <w:bookmarkStart w:id="70" w:name="_Toc435515300"/>
      <w:bookmarkStart w:id="71"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1"/>
    <w:bookmarkEnd w:id="62"/>
    <w:bookmarkEnd w:id="63"/>
    <w:bookmarkEnd w:id="64"/>
    <w:bookmarkEnd w:id="65"/>
    <w:bookmarkEnd w:id="68"/>
    <w:bookmarkEnd w:id="69"/>
    <w:bookmarkEnd w:id="70"/>
    <w:bookmarkEnd w:id="71"/>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2" w:name="_Toc21402"/>
      <w:bookmarkStart w:id="73" w:name="_Toc571"/>
      <w:bookmarkStart w:id="74" w:name="_Toc6666"/>
      <w:bookmarkStart w:id="75" w:name="_Toc7067"/>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2"/>
      <w:bookmarkEnd w:id="73"/>
      <w:bookmarkEnd w:id="74"/>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6" w:name="_Toc10390"/>
      <w:bookmarkStart w:id="77" w:name="_Toc24233"/>
      <w:bookmarkStart w:id="78" w:name="_Toc29263"/>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法定代表人证明书</w:t>
      </w:r>
      <w:bookmarkEnd w:id="75"/>
      <w:bookmarkEnd w:id="76"/>
      <w:bookmarkEnd w:id="77"/>
      <w:bookmarkEnd w:id="78"/>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9" w:name="_Toc23830"/>
      <w:bookmarkStart w:id="80" w:name="_Toc24644"/>
      <w:bookmarkStart w:id="81" w:name="_Toc30412"/>
      <w:r>
        <w:rPr>
          <w:rFonts w:hint="eastAsia" w:ascii="宋体" w:hAnsi="宋体" w:eastAsia="宋体" w:cs="宋体"/>
          <w:kern w:val="2"/>
          <w:sz w:val="30"/>
          <w:szCs w:val="30"/>
          <w:lang w:val="en-US" w:eastAsia="zh-CN" w:bidi="ar-SA"/>
        </w:rPr>
        <w:t>（十七）</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9"/>
      <w:bookmarkEnd w:id="80"/>
      <w:bookmarkEnd w:id="81"/>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2" w:name="_Toc7126"/>
      <w:bookmarkStart w:id="83" w:name="_Toc1903"/>
      <w:bookmarkStart w:id="84" w:name="_Toc15871"/>
      <w:bookmarkStart w:id="85" w:name="_Toc2305"/>
      <w:bookmarkStart w:id="86" w:name="_Toc25910"/>
      <w:bookmarkStart w:id="87" w:name="_Toc11926"/>
      <w:bookmarkStart w:id="88" w:name="_Toc777"/>
      <w:bookmarkStart w:id="89" w:name="_Toc11352"/>
      <w:r>
        <w:rPr>
          <w:rFonts w:hint="eastAsia" w:ascii="宋体" w:hAnsi="宋体" w:eastAsia="宋体" w:cs="宋体"/>
          <w:color w:val="auto"/>
          <w:kern w:val="2"/>
          <w:sz w:val="30"/>
          <w:szCs w:val="30"/>
          <w:lang w:val="en-US" w:eastAsia="zh-CN" w:bidi="ar-SA"/>
        </w:rPr>
        <w:t>（十八）</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2"/>
      <w:bookmarkEnd w:id="83"/>
      <w:bookmarkEnd w:id="84"/>
      <w:bookmarkEnd w:id="85"/>
      <w:bookmarkEnd w:id="86"/>
      <w:bookmarkEnd w:id="87"/>
      <w:bookmarkEnd w:id="88"/>
      <w:bookmarkEnd w:id="89"/>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0" w:name="_Toc23208"/>
      <w:bookmarkStart w:id="91" w:name="_Toc11555"/>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十九</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0"/>
      <w:bookmarkEnd w:id="91"/>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谈判</w:t>
      </w:r>
      <w:r>
        <w:rPr>
          <w:rFonts w:hint="eastAsia" w:ascii="宋体" w:hAnsi="宋体"/>
          <w:szCs w:val="21"/>
        </w:rPr>
        <w:t>项目所提供的货物或服务未侵犯知识产权。</w:t>
      </w:r>
    </w:p>
    <w:p w14:paraId="5EC7A22A">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2" w:name="_Toc7852"/>
      <w:bookmarkStart w:id="93" w:name="_Toc12169"/>
      <w:r>
        <w:rPr>
          <w:rFonts w:hint="eastAsia" w:cs="宋体" w:asciiTheme="majorEastAsia" w:hAnsiTheme="majorEastAsia" w:eastAsiaTheme="majorEastAsia"/>
          <w:kern w:val="2"/>
          <w:sz w:val="30"/>
          <w:szCs w:val="30"/>
          <w:lang w:val="en-US" w:eastAsia="zh-CN" w:bidi="ar-SA"/>
        </w:rPr>
        <w:t>（二十）福田区第二人民医院医用耗材产品质量及货源保证书</w:t>
      </w:r>
      <w:bookmarkEnd w:id="92"/>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谈判</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谈判</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4" w:name="_Toc9651"/>
      <w:r>
        <w:rPr>
          <w:rFonts w:hint="eastAsia" w:cs="宋体" w:asciiTheme="majorEastAsia" w:hAnsiTheme="majorEastAsia" w:eastAsiaTheme="majorEastAsia"/>
          <w:kern w:val="2"/>
          <w:sz w:val="30"/>
          <w:szCs w:val="30"/>
          <w:lang w:val="en-US" w:eastAsia="zh-CN" w:bidi="ar-SA"/>
        </w:rPr>
        <w:t>（二十一）</w:t>
      </w:r>
      <w:bookmarkEnd w:id="93"/>
      <w:r>
        <w:rPr>
          <w:rFonts w:hint="eastAsia" w:cs="宋体" w:asciiTheme="majorEastAsia" w:hAnsiTheme="majorEastAsia" w:eastAsiaTheme="majorEastAsia"/>
          <w:kern w:val="2"/>
          <w:sz w:val="30"/>
          <w:szCs w:val="30"/>
          <w:lang w:val="en-US" w:eastAsia="zh-CN" w:bidi="ar-SA"/>
        </w:rPr>
        <w:t>配送方案</w:t>
      </w:r>
      <w:bookmarkEnd w:id="94"/>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5"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二十二</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5"/>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谈判文件</w:t>
      </w:r>
      <w:r>
        <w:rPr>
          <w:rFonts w:hint="eastAsia" w:asciiTheme="minorEastAsia" w:hAnsiTheme="minorEastAsia" w:eastAsiaTheme="minorEastAsia" w:cstheme="minorEastAsia"/>
          <w:color w:val="auto"/>
          <w:kern w:val="0"/>
          <w:szCs w:val="21"/>
          <w:highlight w:val="none"/>
          <w:lang w:val="en-US" w:eastAsia="zh-CN"/>
        </w:rPr>
        <w:t>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6"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6"/>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7" w:name="_Toc17243"/>
      <w:r>
        <w:rPr>
          <w:rFonts w:hint="eastAsia" w:asciiTheme="majorEastAsia" w:hAnsiTheme="majorEastAsia" w:eastAsiaTheme="majorEastAsia"/>
          <w:sz w:val="30"/>
          <w:szCs w:val="30"/>
          <w:lang w:val="en-US" w:eastAsia="zh-CN"/>
        </w:rPr>
        <w:t>（二十四）履约评价</w:t>
      </w:r>
      <w:bookmarkEnd w:id="97"/>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27595"/>
      <w:r>
        <w:rPr>
          <w:rFonts w:hint="eastAsia" w:asciiTheme="majorEastAsia" w:hAnsiTheme="majorEastAsia" w:eastAsiaTheme="majorEastAsia"/>
          <w:sz w:val="30"/>
          <w:szCs w:val="30"/>
          <w:lang w:val="en-US" w:eastAsia="zh-CN"/>
        </w:rPr>
        <w:t>（二十五）仓储、运输能力</w:t>
      </w:r>
      <w:bookmarkEnd w:id="98"/>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3393"/>
      <w:r>
        <w:rPr>
          <w:rFonts w:hint="eastAsia" w:asciiTheme="majorEastAsia" w:hAnsiTheme="majorEastAsia" w:eastAsiaTheme="majorEastAsia"/>
          <w:sz w:val="30"/>
          <w:szCs w:val="30"/>
          <w:lang w:val="en-US" w:eastAsia="zh-CN"/>
        </w:rPr>
        <w:t>（二十六）</w:t>
      </w:r>
      <w:r>
        <w:rPr>
          <w:rFonts w:hint="eastAsia" w:hAnsi="宋体" w:cs="Times New Roman" w:eastAsiaTheme="majorEastAsia"/>
          <w:sz w:val="30"/>
          <w:szCs w:val="30"/>
          <w:lang w:val="en-US" w:eastAsia="zh-CN"/>
        </w:rPr>
        <w:t>谈判文件要求的其他内容及投标人认为需要加以说明其他内容</w:t>
      </w:r>
      <w:bookmarkEnd w:id="99"/>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0" w:name="_Toc11652"/>
      <w:bookmarkStart w:id="101" w:name="_Toc14580"/>
      <w:bookmarkStart w:id="102" w:name="_Toc438223136"/>
      <w:bookmarkStart w:id="103" w:name="_Toc1658"/>
      <w:bookmarkStart w:id="104" w:name="_Toc435516650"/>
      <w:bookmarkStart w:id="105" w:name="_Toc435174933"/>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06" w:name="_Toc30434"/>
      <w:r>
        <w:rPr>
          <w:rFonts w:asciiTheme="majorEastAsia" w:hAnsiTheme="majorEastAsia" w:eastAsiaTheme="majorEastAsia"/>
          <w:sz w:val="32"/>
          <w:szCs w:val="32"/>
          <w:lang w:eastAsia="zh-TW"/>
        </w:rPr>
        <w:t>说 明</w:t>
      </w:r>
      <w:bookmarkEnd w:id="100"/>
      <w:bookmarkEnd w:id="101"/>
      <w:bookmarkEnd w:id="102"/>
      <w:bookmarkEnd w:id="103"/>
      <w:bookmarkEnd w:id="104"/>
      <w:bookmarkEnd w:id="105"/>
      <w:bookmarkEnd w:id="106"/>
      <w:bookmarkStart w:id="107" w:name="_Toc292267791"/>
    </w:p>
    <w:bookmarkEnd w:id="107"/>
    <w:p w14:paraId="2BEFE422">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0"/>
          <w:szCs w:val="30"/>
        </w:rPr>
      </w:pPr>
      <w:r>
        <w:rPr>
          <w:rFonts w:hint="eastAsia" w:ascii="宋体" w:hAnsi="宋体" w:eastAsia="宋体" w:cs="宋体"/>
          <w:kern w:val="2"/>
          <w:sz w:val="30"/>
          <w:szCs w:val="30"/>
          <w:lang w:val="en-US" w:eastAsia="zh-CN" w:bidi="ar"/>
        </w:rPr>
        <w:t>总则</w:t>
      </w:r>
    </w:p>
    <w:p w14:paraId="0E0F6391">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25" w:right="0" w:hanging="425"/>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适用范围</w:t>
      </w:r>
    </w:p>
    <w:p w14:paraId="6ABDE5B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b/>
          <w:bCs/>
          <w:kern w:val="2"/>
          <w:sz w:val="21"/>
          <w:szCs w:val="21"/>
        </w:rPr>
      </w:pPr>
      <w:r>
        <w:rPr>
          <w:rFonts w:hint="eastAsia" w:ascii="宋体" w:hAnsi="宋体" w:eastAsia="宋体" w:cs="宋体"/>
          <w:kern w:val="2"/>
          <w:sz w:val="21"/>
          <w:szCs w:val="21"/>
          <w:lang w:val="en-US" w:eastAsia="zh-CN" w:bidi="ar"/>
        </w:rPr>
        <w:t>1.1.本谈判文件适用于本投标邀请中所述采购项目。</w:t>
      </w:r>
    </w:p>
    <w:p w14:paraId="3A12B9B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1.2.本项目参照《深圳经济特区政府采购条例》《深圳经济特区政府采购条例实施细则》的规定，并参考有关法规、政策、规章、规定，通过公开征集择优选定供应商。</w:t>
      </w:r>
    </w:p>
    <w:p w14:paraId="4C803534">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b/>
          <w:bCs/>
          <w:kern w:val="2"/>
          <w:sz w:val="21"/>
          <w:szCs w:val="21"/>
        </w:rPr>
      </w:pPr>
      <w:r>
        <w:rPr>
          <w:rFonts w:hint="eastAsia" w:ascii="宋体" w:hAnsi="宋体" w:eastAsia="宋体" w:cs="宋体"/>
          <w:kern w:val="2"/>
          <w:sz w:val="21"/>
          <w:szCs w:val="21"/>
          <w:lang w:val="en-US" w:eastAsia="zh-CN" w:bidi="ar"/>
        </w:rPr>
        <w:t>1.3.本谈判文件适用于货物采购项目。</w:t>
      </w:r>
    </w:p>
    <w:p w14:paraId="11596B2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strike/>
          <w:dstrike w:val="0"/>
          <w:kern w:val="2"/>
          <w:sz w:val="21"/>
          <w:szCs w:val="21"/>
        </w:rPr>
      </w:pPr>
      <w:r>
        <w:rPr>
          <w:rFonts w:hint="eastAsia" w:ascii="宋体" w:hAnsi="宋体" w:eastAsia="宋体" w:cs="宋体"/>
          <w:b/>
          <w:bCs w:val="0"/>
          <w:kern w:val="2"/>
          <w:sz w:val="21"/>
          <w:szCs w:val="21"/>
          <w:lang w:val="en-US" w:eastAsia="zh-CN" w:bidi="ar"/>
        </w:rPr>
        <w:t>定义</w:t>
      </w:r>
    </w:p>
    <w:p w14:paraId="1BF425D2">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2.1.采购人是指各级国家机关、事业单位和团体组织。采购人已拥有一笔财政性资金或资金来源已落实。采购人计划将一部分或全部资金用于支付本次采购后所签订合同项下的款项。</w:t>
      </w:r>
    </w:p>
    <w:p w14:paraId="5A6F046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2.2.供应商是指向采购人提供货物、工程或者服务的法人、其他组织或者自然人。</w:t>
      </w:r>
    </w:p>
    <w:p w14:paraId="12364A9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2.3.评标委员会是指专门负责本项目评标工作的临时性机构。</w:t>
      </w:r>
    </w:p>
    <w:p w14:paraId="2D97D9B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2.4.投标人是指响应征集、参加投标竞争的法人、其他组织或者自然人。</w:t>
      </w:r>
    </w:p>
    <w:p w14:paraId="281C71C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2.5.中标人是指经法定程序确定并授予合同的投标人。</w:t>
      </w:r>
    </w:p>
    <w:p w14:paraId="532FA5B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2.6.合同是是指由本次征集所产生的合同或合约文件。</w:t>
      </w:r>
    </w:p>
    <w:p w14:paraId="2BB5BCFC">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2.7.纸质投标文件是指根据本谈判文件模板的要求规范填写，打印输出并盖有单位公章的投标文件原件。</w:t>
      </w:r>
    </w:p>
    <w:p w14:paraId="45003C0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2.8.现场投标是指在规定时间内直接向我院提交纸质投标文件。</w:t>
      </w:r>
    </w:p>
    <w:p w14:paraId="4C4C597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2.9.谈判文件中的标题或题名仅起引导作用，而不应视为对谈判文件内容的理解和解释。</w:t>
      </w:r>
    </w:p>
    <w:p w14:paraId="4E42DFF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2.10.日期是指公历日。</w:t>
      </w:r>
    </w:p>
    <w:p w14:paraId="011158C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2.11.谈判文件中的标题或题名仅起引导作用，而不应视为对谈判文件内容的理解和解释。</w:t>
      </w:r>
    </w:p>
    <w:p w14:paraId="37E1E53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合格的货物和服务</w:t>
      </w:r>
    </w:p>
    <w:p w14:paraId="2F68A61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3.1.货物是指投标人制造或组织符合谈判文件要求的货物等。投标的货物必须是其合法生产、合法来源的符合国家有关标准要求的货物，并满足谈判文件规定的规格、参数、质量、价格、有效期、售后服务等要求。</w:t>
      </w:r>
    </w:p>
    <w:p w14:paraId="098AE98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3.2.服务是指除货物和工程以外的其他政府采购对象，其中包括：投标人须承担的运输、安装、技术支持、培训以及谈判文件规定的其它服务。</w:t>
      </w:r>
    </w:p>
    <w:p w14:paraId="2D75D64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3.3.国产的货物及其有关服务必须符合中华人民共和国的设计、制造生产标准及行业标准。征集公告有其他要求的，亦应符合其要求。进口货物及其有关服务必须符合原产地和中华人民共和国的设计、制造生产标准及行业标准。进口的货物必须具有合法的进口手续和途径，并通过中华人民共和国商检部门检验。征集公告有其他要求的，亦应符合其要求。</w:t>
      </w:r>
    </w:p>
    <w:p w14:paraId="5A89C14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3.4.关于进口产品：根据财政部《政府采购进口产品管理办法》（财库〔2007〕119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2BAF3F7">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3.5.若所投产品属于政府强制采购节能产品的，则投标人必须提供该产品国家强制性节能产品进行响应，并提供强制性节能产品认证证书，否则视为无效投标。</w:t>
      </w:r>
    </w:p>
    <w:p w14:paraId="3013FE2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3.6.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1C1E1D08">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3.7.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37082E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3.8.工期要求：投标人在投标时对其所投项目应提交交货进度、交货计划等，在合同规定的时间内完成项目实施工作。</w:t>
      </w:r>
    </w:p>
    <w:p w14:paraId="0FD888FD">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3.9.投标人必须承担的设备运输、安装调试、验收检测和提供设备操作说明书、图纸等其他相关及类似的义务。</w:t>
      </w:r>
    </w:p>
    <w:p w14:paraId="230DF34C">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其他</w:t>
      </w:r>
    </w:p>
    <w:p w14:paraId="417E9A33">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4.1.所有时间均为24小时制北京时间，所有货币单位均为人民币元，所使用的计量单位均以《中华人民共和国法定计量单位》为准（特别注明除外）。</w:t>
      </w:r>
    </w:p>
    <w:p w14:paraId="0D54AED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4.2.供应商（投标人）向我院咨询的有关项目事项，一切以法律法规的规定和本院书面答复为准，其他一切形式均为个人意见，不代表本院的意见。</w:t>
      </w:r>
    </w:p>
    <w:p w14:paraId="047DF251">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kern w:val="2"/>
          <w:sz w:val="21"/>
          <w:szCs w:val="21"/>
          <w:lang w:val="en-US" w:eastAsia="zh-CN" w:bidi="ar"/>
        </w:rPr>
        <w:t>4.3.对列入失信“黑名单”的供应商限制参与政府采购。</w:t>
      </w:r>
      <w:r>
        <w:rPr>
          <w:rFonts w:hint="eastAsia" w:ascii="宋体" w:hAnsi="宋体" w:eastAsia="宋体" w:cs="宋体"/>
          <w:bCs/>
          <w:kern w:val="2"/>
          <w:sz w:val="21"/>
          <w:szCs w:val="21"/>
          <w:lang w:val="en-US" w:eastAsia="zh-CN" w:bidi="ar"/>
        </w:rPr>
        <w:t>供应商诚信查询方式：</w:t>
      </w:r>
      <w:r>
        <w:rPr>
          <w:rFonts w:hint="eastAsia" w:ascii="宋体" w:hAnsi="宋体" w:eastAsia="宋体" w:cs="宋体"/>
          <w:kern w:val="2"/>
          <w:sz w:val="21"/>
          <w:szCs w:val="21"/>
          <w:lang w:val="en-US" w:eastAsia="zh-CN" w:bidi="ar"/>
        </w:rPr>
        <w:t>“信用中国”网站(www.creditchina.gov.cn)没有以下任意记录名单之一：①记录失信被执行人；②税收违法黑名单；中国政府采购网</w:t>
      </w:r>
      <w:r>
        <w:rPr>
          <w:rFonts w:hint="eastAsia" w:ascii="宋体" w:hAnsi="宋体" w:eastAsia="宋体" w:cs="Times New Roman"/>
          <w:kern w:val="2"/>
          <w:sz w:val="21"/>
          <w:szCs w:val="21"/>
          <w:lang w:val="en-US" w:eastAsia="zh-CN" w:bidi="ar"/>
        </w:rPr>
        <w:t>(www.ccgp.gov.cn)不处于“政府采购严重违法失信行为信息记录”中的禁止参加政府采购活动期间</w:t>
      </w:r>
      <w:r>
        <w:rPr>
          <w:rFonts w:hint="eastAsia" w:ascii="宋体" w:hAnsi="宋体" w:eastAsia="宋体" w:cs="宋体"/>
          <w:kern w:val="2"/>
          <w:sz w:val="21"/>
          <w:szCs w:val="21"/>
          <w:lang w:val="en-US" w:eastAsia="zh-CN" w:bidi="ar"/>
        </w:rPr>
        <w:t>；在深圳信用网（</w:t>
      </w:r>
      <w:r>
        <w:rPr>
          <w:rFonts w:hint="eastAsia" w:ascii="宋体" w:hAnsi="宋体" w:eastAsia="宋体" w:cs="Times New Roman"/>
          <w:kern w:val="2"/>
          <w:sz w:val="21"/>
          <w:szCs w:val="21"/>
          <w:lang w:val="en-US" w:eastAsia="zh-CN" w:bidi="ar"/>
        </w:rPr>
        <w:t>https://www.szcredit.com.cn</w:t>
      </w:r>
      <w:r>
        <w:rPr>
          <w:rFonts w:hint="eastAsia" w:ascii="宋体" w:hAnsi="宋体" w:eastAsia="宋体" w:cs="宋体"/>
          <w:kern w:val="2"/>
          <w:sz w:val="21"/>
          <w:szCs w:val="21"/>
          <w:lang w:val="en-US" w:eastAsia="zh-CN" w:bidi="ar"/>
        </w:rPr>
        <w:t>）、</w:t>
      </w:r>
      <w:r>
        <w:rPr>
          <w:rFonts w:hint="eastAsia" w:ascii="宋体" w:hAnsi="宋体" w:eastAsia="宋体" w:cs="宋体"/>
          <w:bCs/>
          <w:kern w:val="2"/>
          <w:sz w:val="21"/>
          <w:szCs w:val="21"/>
          <w:lang w:val="en-US" w:eastAsia="zh-CN" w:bidi="ar"/>
        </w:rPr>
        <w:t>深圳市政府采购监督管理网（zfcg.sz.gov.cn）查询相关主体信用记录，对不符合《中华人民共和国政府采购法》第二十二条规定条件的供应商限制参与政府采购。</w:t>
      </w:r>
      <w:r>
        <w:rPr>
          <w:rFonts w:hint="eastAsia" w:ascii="宋体" w:hAnsi="宋体" w:eastAsia="宋体" w:cs="宋体"/>
          <w:kern w:val="2"/>
          <w:sz w:val="21"/>
          <w:szCs w:val="21"/>
          <w:lang w:val="en-US" w:eastAsia="zh-CN" w:bidi="ar"/>
        </w:rPr>
        <w:t>联合体投标的，对所有联合体成员进行信用记录查询，联合体成员存在不良信用记录的，视同联合体存在不良信用记录。</w:t>
      </w:r>
      <w:r>
        <w:rPr>
          <w:rFonts w:hint="eastAsia" w:ascii="宋体" w:hAnsi="宋体" w:eastAsia="宋体" w:cs="宋体"/>
          <w:bCs/>
          <w:kern w:val="2"/>
          <w:sz w:val="21"/>
          <w:szCs w:val="21"/>
          <w:lang w:val="en-US" w:eastAsia="zh-CN" w:bidi="ar"/>
        </w:rPr>
        <w:t>如在上述网站查询结果均显示没有相关记录，视为不存在上述不良信用记录。由采购人工作人员对信用信息查询记录和证据截图或下载存档，</w:t>
      </w:r>
      <w:r>
        <w:rPr>
          <w:rFonts w:hint="eastAsia" w:ascii="宋体" w:hAnsi="宋体" w:eastAsia="宋体" w:cs="宋体"/>
          <w:kern w:val="2"/>
          <w:sz w:val="21"/>
          <w:szCs w:val="21"/>
          <w:lang w:val="en-US" w:eastAsia="zh-CN" w:bidi="ar"/>
        </w:rPr>
        <w:t>相关信息以开标当日的查询结果为准。信用信息查询记录应当作为项目档案材料一并保存。</w:t>
      </w:r>
    </w:p>
    <w:p w14:paraId="3A44972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 xml:space="preserve"> </w:t>
      </w:r>
    </w:p>
    <w:p w14:paraId="623D4FAD">
      <w:pPr>
        <w:keepNext w:val="0"/>
        <w:keepLines w:val="0"/>
        <w:widowControl w:val="0"/>
        <w:suppressLineNumbers w:val="0"/>
        <w:adjustRightInd w:val="0"/>
        <w:snapToGrid w:val="0"/>
        <w:spacing w:before="0" w:beforeAutospacing="0" w:after="0" w:afterAutospacing="0" w:line="360" w:lineRule="auto"/>
        <w:ind w:left="0" w:leftChars="0" w:right="0"/>
        <w:jc w:val="center"/>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谈判文件</w:t>
      </w:r>
    </w:p>
    <w:p w14:paraId="2BD777B7">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谈判文件注意事项</w:t>
      </w:r>
    </w:p>
    <w:p w14:paraId="3C4CE49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5.1.投标人获得谈判文件后，应仔细检查谈判文件的所有内容，如有残缺应在投标截止时间1个工作日前向我院提出，否则，由此引起的投标损失自负；投标人同时应认真审阅谈判文件所有的事项、格式、条款和规范要求等，如果投标人的投标文件没有按谈判文件要求提交全部资料或者投标文件没有对谈判文件做出实质性响应，其风险应由投标人自行承担，并根据有关条款规定，其投标有可能被拒绝。</w:t>
      </w:r>
    </w:p>
    <w:p w14:paraId="3EED0243">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bCs/>
          <w:kern w:val="2"/>
          <w:sz w:val="21"/>
          <w:szCs w:val="21"/>
          <w:lang w:val="en-US" w:eastAsia="zh-CN" w:bidi="ar"/>
        </w:rPr>
        <w:t>5.2.任何人或任何组织向投标人提交的任何书面或口头资料，未经我院在网上发布或书面通知，均作无效处理，不得作为谈判文件的组成部分。我院对投标人由此而做出的推论、理解和结论概不负责。</w:t>
      </w:r>
    </w:p>
    <w:p w14:paraId="3B808E0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5.3.谈判文件澄清的目的是澄清、解答投标人在查阅谈判文件后或现场踏勘中可能提出的与投标有关的疑问或询问。谈判文件的修改性文件，如补充、澄清文件或谈判文件修订说明同样具有法律效力。</w:t>
      </w:r>
    </w:p>
    <w:p w14:paraId="4DEC470C">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5.4.对谈判文件进行澄清或者对谈判文件有限制性、倾向性条款提出征集答疑的投标人，均应于“征集公告”中所述投标截止时间1个工作日前书面通知我院。我院对规定时间内收到的对谈判文件的澄清或者质疑，视情况予以答复。</w:t>
      </w:r>
    </w:p>
    <w:p w14:paraId="3B27277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5.5.不论是我院根据需要主动对谈判文件进行必要的澄清或是根据投标人的要求对谈判文件做出澄清，我院都将在投标截止日期前以书面形式（包括网站发布方式）答复或发送给所有投标人。答复内容是谈判文件的组成部分，对投标人起约束作用。</w:t>
      </w:r>
    </w:p>
    <w:p w14:paraId="02F67BD4">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5.6.谈判文件发出后，在投标截止日期前任何时候，确需要变更征集内容的，我院可主动地或在解答投标人提出的澄清问题时对谈判文件进行修改。</w:t>
      </w:r>
    </w:p>
    <w:p w14:paraId="0B60A5B4">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5.7.谈判文件的修改均在指定网站（医院官网）以网上公告形式发布，并对投标人具有约束力，在项目开标前，投标人有义务上网查看，公告一经上网发布，即视为送达。</w:t>
      </w:r>
    </w:p>
    <w:p w14:paraId="4B43CFE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5.8.谈判文件、谈判文件澄清（答疑）纪要、谈判文件修改补充通知内容均以书面明确的内容为准。当谈判文件、修改补充通知、澄清（答疑）纪要内容相互矛盾时，以最后发出的通知（或纪要）或修改文件为准。</w:t>
      </w:r>
    </w:p>
    <w:p w14:paraId="425D2759">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5.9.我院保证谈判文件澄清（答疑）纪要和谈判文件修改补充通知在投标截止时间前以网站公开发布形式或书面形式发送给所有投标人。为使投标人在编写投标文件时有充分时间对谈判文件的修改部分进行研究，我院可以酌情延长递交投标文件的截止日期，具体时间将在修改补充通知中明确。</w:t>
      </w:r>
    </w:p>
    <w:p w14:paraId="3E0A9DCE">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5.10.谈判文件由深圳市福田区第二人民医院负责解释。</w:t>
      </w:r>
    </w:p>
    <w:p w14:paraId="3DB7068F">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bCs/>
          <w:kern w:val="2"/>
          <w:sz w:val="21"/>
          <w:szCs w:val="21"/>
          <w:lang w:val="en-US" w:eastAsia="zh-CN" w:bidi="ar"/>
        </w:rPr>
        <w:t>5.11.</w:t>
      </w:r>
      <w:r>
        <w:rPr>
          <w:rFonts w:hint="eastAsia" w:ascii="宋体" w:hAnsi="宋体" w:eastAsia="宋体" w:cs="宋体"/>
          <w:kern w:val="2"/>
          <w:sz w:val="21"/>
          <w:szCs w:val="21"/>
          <w:lang w:val="en-US" w:eastAsia="zh-CN" w:bidi="ar"/>
        </w:rPr>
        <w:t>本次招投标的最终解释权归</w:t>
      </w:r>
      <w:r>
        <w:rPr>
          <w:rFonts w:hint="eastAsia" w:ascii="宋体" w:hAnsi="宋体" w:eastAsia="宋体" w:cs="宋体"/>
          <w:bCs/>
          <w:kern w:val="2"/>
          <w:sz w:val="21"/>
          <w:szCs w:val="21"/>
          <w:lang w:val="en-US" w:eastAsia="zh-CN" w:bidi="ar"/>
        </w:rPr>
        <w:t>深圳市福田区第二人民医院</w:t>
      </w:r>
      <w:r>
        <w:rPr>
          <w:rFonts w:hint="eastAsia" w:ascii="宋体" w:hAnsi="宋体" w:eastAsia="宋体" w:cs="宋体"/>
          <w:kern w:val="2"/>
          <w:sz w:val="21"/>
          <w:szCs w:val="21"/>
          <w:lang w:val="en-US" w:eastAsia="zh-CN" w:bidi="ar"/>
        </w:rPr>
        <w:t>所有。本文件未作须知明示，而又有相关法律、法规规定的，</w:t>
      </w:r>
      <w:r>
        <w:rPr>
          <w:rFonts w:hint="eastAsia" w:ascii="宋体" w:hAnsi="宋体" w:eastAsia="宋体" w:cs="宋体"/>
          <w:bCs/>
          <w:kern w:val="2"/>
          <w:sz w:val="21"/>
          <w:szCs w:val="21"/>
          <w:lang w:val="en-US" w:eastAsia="zh-CN" w:bidi="ar"/>
        </w:rPr>
        <w:t>深圳市福田区第二人民医院</w:t>
      </w:r>
      <w:r>
        <w:rPr>
          <w:rFonts w:hint="eastAsia" w:ascii="宋体" w:hAnsi="宋体" w:eastAsia="宋体" w:cs="宋体"/>
          <w:kern w:val="2"/>
          <w:sz w:val="21"/>
          <w:szCs w:val="21"/>
          <w:lang w:val="en-US" w:eastAsia="zh-CN" w:bidi="ar"/>
        </w:rPr>
        <w:t>将对此解释为依据有关法律、法规的规定。</w:t>
      </w:r>
    </w:p>
    <w:p w14:paraId="440AE51F">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 xml:space="preserve"> </w:t>
      </w:r>
    </w:p>
    <w:p w14:paraId="31559E6C">
      <w:pPr>
        <w:pStyle w:val="3"/>
        <w:widowControl/>
        <w:ind w:left="420" w:leftChars="0" w:hanging="420" w:firstLineChars="0"/>
        <w:jc w:val="center"/>
        <w:outlineLvl w:val="0"/>
        <w:rPr>
          <w:rFonts w:hint="eastAsia" w:ascii="宋体" w:hAnsi="宋体" w:eastAsia="宋体" w:cs="宋体"/>
          <w:kern w:val="2"/>
          <w:sz w:val="30"/>
          <w:szCs w:val="30"/>
        </w:rPr>
      </w:pPr>
      <w:r>
        <w:rPr>
          <w:rFonts w:hint="eastAsia" w:ascii="宋体" w:hAnsi="宋体" w:eastAsia="宋体" w:cs="宋体"/>
          <w:kern w:val="2"/>
          <w:sz w:val="30"/>
          <w:szCs w:val="30"/>
        </w:rPr>
        <w:t>投标文件的编制</w:t>
      </w:r>
    </w:p>
    <w:p w14:paraId="204F4035">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投标的语言及度量单位</w:t>
      </w:r>
    </w:p>
    <w:p w14:paraId="6D6FAD0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6.1.投标人提交的投标文件以及投标人与采购人就有关投标的所有来往函电均应使用中文书写。投标人提交的支持文件或印刷的资料可以用另一种语言，但相应内容应附有中文翻译本，由翻译机构盖章或者翻译人员签名。两种语言不一致时以中文翻译本为准。</w:t>
      </w:r>
    </w:p>
    <w:p w14:paraId="7A98054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6.2.除技术规范另有规定外，投标文件使用的度量单位，均采用中华人民共和国法定计量单位。</w:t>
      </w:r>
    </w:p>
    <w:p w14:paraId="44A828F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投标文件的构成</w:t>
      </w:r>
    </w:p>
    <w:p w14:paraId="6CC0E2F7">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7.1.投标人编写的投标文件应包括资格性文件、符合性文件、技术文件、商务文件等，编排顺序参见投标文件格式。</w:t>
      </w:r>
    </w:p>
    <w:p w14:paraId="0C642C33">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7.2.投标文件的构成应符合法律法规及谈判文件的要求。</w:t>
      </w:r>
    </w:p>
    <w:p w14:paraId="2B3B776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投标文件的编写</w:t>
      </w:r>
    </w:p>
    <w:p w14:paraId="239B2D9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8.1.投标人对谈判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5D899A2C">
      <w:pPr>
        <w:keepNext w:val="0"/>
        <w:keepLines w:val="0"/>
        <w:widowControl w:val="0"/>
        <w:suppressLineNumbers w:val="0"/>
        <w:tabs>
          <w:tab w:val="left" w:pos="709"/>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8.2.投标人必须对投标文件所提供的全部资料的真实性承担法律责任，并无条件接受采购人或者政府采购监督管理部门对其中任何资料进行核实的要求。</w:t>
      </w:r>
    </w:p>
    <w:p w14:paraId="6157B23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8.3.如果因为投标人的投标文件只填写和提供了本谈判文件要求的部分内容和附件，或没有提供谈判文件中所要求的资料及数据，由此造成的后果和责任由投标人承担。</w:t>
      </w:r>
    </w:p>
    <w:p w14:paraId="1691DAA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投标人应认真阅读、并充分理解谈判文件的全部内容（包括所有的补充、修改内容重要事项、格式、条款和技术规范、参数及要求等）。投标人没有按照谈判文件要求提交资料，或者投标文件没有对谈判文件在各方面都作出实质性响应是投标人的风险，有可能导致其投标被认定为无效投标或被确定为投标无效。</w:t>
      </w:r>
    </w:p>
    <w:p w14:paraId="3E2D64A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8.5.如谈判文件提供了投标文件格式，则投标人提交的投标文件必须毫无例外地使用谈判文件所提供的相应格式（表格可以按同样格式扩展）。</w:t>
      </w:r>
    </w:p>
    <w:p w14:paraId="465813C0">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投标报价</w:t>
      </w:r>
    </w:p>
    <w:p w14:paraId="600A4B1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9.1.投标人应按照“用户需求书”中采购项目技术规格、参数及要求规定的内容、责任范围进行报价。并按《开标一览表(报价表)》及《投标分项报价表》（如适用）的要求报出总价和分项价格。</w:t>
      </w:r>
    </w:p>
    <w:p w14:paraId="7728061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9.2.投标分项报价应包含：</w:t>
      </w:r>
    </w:p>
    <w:p w14:paraId="770CE1F7">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9.2.1.按谈判文件的要求全部货物及服务内容所需的所有费用，包括但不限于项目的全部产品价格、服务价格、应向中华人民共和国政府缴纳的增值税和其它税等全部税费、运输、保险、安装、伴随服务、标准附件价、备品备件及专用工具价(如有)、以及履行合同所需的费用、所有风险、责任等其他一切隐含及不可预见的费用。如是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20E6C740">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9.2.2.对于报价免费的内容须标明“免费”。</w:t>
      </w:r>
    </w:p>
    <w:p w14:paraId="2660739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9.3.除投标资料表中另有规定，投标人所报的投标价在合同执行过程中是固定不变的，不得以任何理由予以变更。任何包含价格调整要求的投标被认为是非实质性响应投标而予以拒绝。</w:t>
      </w:r>
    </w:p>
    <w:p w14:paraId="30822C3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9.4.除投标资料表中允许有备选方案外，本次征集不接受选择性报价，否则将被视为无效投标。</w:t>
      </w:r>
    </w:p>
    <w:p w14:paraId="43EDBB74">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9.5.除投标资料表另有规定外，本次征集不接受具有附加条件的报价，否则将被视为无效投标。</w:t>
      </w:r>
    </w:p>
    <w:p w14:paraId="49761AAB">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投标货币</w:t>
      </w:r>
    </w:p>
    <w:p w14:paraId="6C35452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投标人所提供的货物和服务均应以人民币报价。</w:t>
      </w:r>
    </w:p>
    <w:p w14:paraId="6C314207">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联合体投标</w:t>
      </w:r>
    </w:p>
    <w:p w14:paraId="6DD65058">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除</w:t>
      </w:r>
      <w:r>
        <w:rPr>
          <w:rFonts w:hint="eastAsia" w:ascii="宋体" w:hAnsi="宋体" w:eastAsia="宋体" w:cs="宋体"/>
          <w:bCs/>
          <w:kern w:val="2"/>
          <w:sz w:val="21"/>
          <w:szCs w:val="21"/>
          <w:lang w:val="en-US" w:eastAsia="zh-CN" w:bidi="ar"/>
        </w:rPr>
        <w:t>非投标邀请中另有规定</w:t>
      </w:r>
      <w:r>
        <w:rPr>
          <w:rFonts w:hint="eastAsia" w:ascii="宋体" w:hAnsi="宋体" w:eastAsia="宋体" w:cs="宋体"/>
          <w:kern w:val="2"/>
          <w:sz w:val="21"/>
          <w:szCs w:val="21"/>
          <w:lang w:val="en-US" w:eastAsia="zh-CN" w:bidi="ar"/>
        </w:rPr>
        <w:t>，不接受联合体投标。如果投标邀请中规定允许联合体投标的，则必须满足：</w:t>
      </w:r>
    </w:p>
    <w:p w14:paraId="1083F69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11.1.1.以联合体形式参加投标的，联合体各方均必须符合联合体各方均必须符合</w:t>
      </w:r>
      <w:r>
        <w:rPr>
          <w:rFonts w:hint="eastAsia" w:ascii="宋体" w:hAnsi="宋体" w:eastAsia="宋体" w:cs="宋体"/>
          <w:bCs/>
          <w:kern w:val="2"/>
          <w:sz w:val="21"/>
          <w:szCs w:val="21"/>
          <w:lang w:val="en-US" w:eastAsia="zh-CN" w:bidi="ar"/>
        </w:rPr>
        <w:t>《中华人民共和国政府采购法》第二十二条第（一）至（六）项规定。</w:t>
      </w:r>
    </w:p>
    <w:p w14:paraId="1BC735AD">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11.1.2.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43ABEEF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11.1.3.联合体中有同类资质的供应商按照联合体分工承担相同工作的，应当按照资质等级较低的供应商确定资质等级。</w:t>
      </w:r>
    </w:p>
    <w:p w14:paraId="323756B8">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11.1.4.联合体中标的，联合体各方应当共同与采购人签订合同。</w:t>
      </w:r>
    </w:p>
    <w:p w14:paraId="78D3767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证明投标人合格和资格的文件</w:t>
      </w:r>
    </w:p>
    <w:p w14:paraId="51685047">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应提交证明其有资格参加投标和中标后有能力履行合同的文件，并作为其投标文件的一部分。如果投标人为联合体，应提交联合体各方的资格证明文件、联合投标协议并注明主体方及各方拟承担的工作和责任。否则，将导致其投标无效。</w:t>
      </w:r>
    </w:p>
    <w:p w14:paraId="4F83F64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投标人提交的资格证明文件应证明其满足</w:t>
      </w:r>
      <w:r>
        <w:rPr>
          <w:rFonts w:hint="eastAsia" w:ascii="宋体" w:hAnsi="宋体" w:eastAsia="宋体" w:cs="宋体"/>
          <w:bCs/>
          <w:kern w:val="2"/>
          <w:sz w:val="21"/>
          <w:szCs w:val="21"/>
          <w:lang w:val="en-US" w:eastAsia="zh-CN" w:bidi="ar"/>
        </w:rPr>
        <w:t>投标人的资格要求</w:t>
      </w:r>
      <w:r>
        <w:rPr>
          <w:rFonts w:hint="eastAsia" w:ascii="宋体" w:hAnsi="宋体" w:eastAsia="宋体" w:cs="宋体"/>
          <w:kern w:val="2"/>
          <w:sz w:val="21"/>
          <w:szCs w:val="21"/>
          <w:lang w:val="en-US" w:eastAsia="zh-CN" w:bidi="ar"/>
        </w:rPr>
        <w:t>。</w:t>
      </w:r>
    </w:p>
    <w:p w14:paraId="6F2238CB">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证明投标标的的合格性和符合谈判文件规定的文件</w:t>
      </w:r>
    </w:p>
    <w:p w14:paraId="0114574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投标人应提交证明文件，证明其拟投标的货物和服务的合格性符合谈判文件规定。该证明文件作为投标文件的一部分。</w:t>
      </w:r>
    </w:p>
    <w:p w14:paraId="0FBCA582">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货物和服务合格性的证明文件应包括投标分项报价表中对货物和服务原产地的说明。</w:t>
      </w:r>
    </w:p>
    <w:p w14:paraId="4FA29D92">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strike/>
          <w:dstrike w:val="0"/>
          <w:kern w:val="2"/>
          <w:sz w:val="21"/>
          <w:szCs w:val="21"/>
        </w:rPr>
      </w:pPr>
      <w:r>
        <w:rPr>
          <w:rFonts w:hint="eastAsia" w:ascii="宋体" w:hAnsi="宋体" w:eastAsia="宋体" w:cs="宋体"/>
          <w:kern w:val="2"/>
          <w:sz w:val="21"/>
          <w:szCs w:val="21"/>
          <w:lang w:val="en-US" w:eastAsia="zh-CN" w:bidi="ar"/>
        </w:rPr>
        <w:t>证明货物和服务与谈判文件的要求相一致的文件，可以是文字资料、图纸和数据。</w:t>
      </w:r>
    </w:p>
    <w:p w14:paraId="5BF4BFA3">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投标文件的式样和签署、密封</w:t>
      </w:r>
    </w:p>
    <w:p w14:paraId="7A712F41">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文件的式样：投标人应准备纸质投标文件一份正本、电子文件和征集须知中规定数目的纸质副本。投标文件的副本可采用正本的复印件。每套投标文件须清楚地标明“正本”或“副本”。若副本与正本不符，以正本为准。</w:t>
      </w:r>
    </w:p>
    <w:p w14:paraId="09E660F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电子文件：是指将按谈判文件要求签署、盖章后的正本投标文件扫描成PDF格式后拷贝至无病毒无密码的U盘或光盘。电子文件与开标一览表一同密封，若电子文件与正本不符，以正本为准。</w:t>
      </w:r>
    </w:p>
    <w:p w14:paraId="156B7360">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投标文件的签署：</w:t>
      </w:r>
      <w:r>
        <w:rPr>
          <w:rFonts w:hint="eastAsia" w:ascii="宋体" w:hAnsi="宋体" w:eastAsia="宋体" w:cs="黑体"/>
          <w:b/>
          <w:bCs/>
          <w:kern w:val="2"/>
          <w:sz w:val="21"/>
          <w:szCs w:val="21"/>
          <w:lang w:val="en-US" w:eastAsia="zh-CN" w:bidi="ar"/>
        </w:rPr>
        <w:t xml:space="preserve"> </w:t>
      </w:r>
    </w:p>
    <w:p w14:paraId="041960D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14.3.1.投标文件的正本需打印或用不褪色墨水书写，且谈判文件要求签名的由法定代表人或经其正式授权的代表签字或盖章，以及谈判文件中明示盖公章处及要求提供的证明材料应盖投标人公章，副本可以用正本复印，与正本具有同等法律效力。授权代表须将以书面形式出具的《法定代表人授权委托书》附在投标文件中。</w:t>
      </w:r>
    </w:p>
    <w:p w14:paraId="677159CC">
      <w:pPr>
        <w:keepNext w:val="0"/>
        <w:keepLines w:val="0"/>
        <w:widowControl w:val="0"/>
        <w:numPr>
          <w:ilvl w:val="2"/>
          <w:numId w:val="17"/>
        </w:numPr>
        <w:suppressLineNumbers w:val="0"/>
        <w:tabs>
          <w:tab w:val="left" w:pos="851"/>
        </w:tabs>
        <w:autoSpaceDE w:val="0"/>
        <w:autoSpaceDN w:val="0"/>
        <w:adjustRightInd w:val="0"/>
        <w:snapToGrid w:val="0"/>
        <w:spacing w:before="0" w:beforeAutospacing="0" w:after="0" w:afterAutospacing="0" w:line="360" w:lineRule="auto"/>
        <w:ind w:left="851" w:right="0" w:hanging="851"/>
        <w:jc w:val="both"/>
        <w:rPr>
          <w:rFonts w:hint="eastAsia" w:ascii="宋体" w:hAnsi="宋体" w:eastAsia="宋体" w:cs="宋体"/>
          <w:b w:val="0"/>
          <w:bCs w:val="0"/>
          <w:kern w:val="2"/>
          <w:sz w:val="21"/>
          <w:szCs w:val="21"/>
        </w:rPr>
      </w:pPr>
      <w:r>
        <w:rPr>
          <w:rFonts w:hint="eastAsia" w:ascii="宋体" w:hAnsi="宋体" w:eastAsia="宋体" w:cs="宋体"/>
          <w:kern w:val="2"/>
          <w:sz w:val="21"/>
          <w:szCs w:val="21"/>
          <w:lang w:val="en-US" w:eastAsia="zh-CN" w:bidi="ar"/>
        </w:rPr>
        <w:t>投标文件中的任何重要的插字、涂改和增删，必须由法定代表人或经其正式授权的</w:t>
      </w:r>
      <w:r>
        <w:rPr>
          <w:rFonts w:hint="eastAsia" w:ascii="宋体" w:hAnsi="宋体" w:eastAsia="宋体" w:cs="宋体"/>
          <w:b w:val="0"/>
          <w:bCs w:val="0"/>
          <w:kern w:val="2"/>
          <w:sz w:val="21"/>
          <w:szCs w:val="21"/>
          <w:lang w:val="en-US" w:eastAsia="zh-CN" w:bidi="ar"/>
        </w:rPr>
        <w:t>代表在旁边签章或签字或盖投标人公章才有效。</w:t>
      </w:r>
    </w:p>
    <w:p w14:paraId="350933F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 w:val="0"/>
          <w:bCs w:val="0"/>
          <w:kern w:val="2"/>
          <w:sz w:val="21"/>
          <w:szCs w:val="21"/>
        </w:rPr>
      </w:pPr>
      <w:r>
        <w:rPr>
          <w:rFonts w:hint="eastAsia" w:ascii="宋体" w:hAnsi="宋体" w:eastAsia="宋体" w:cs="宋体"/>
          <w:b w:val="0"/>
          <w:bCs w:val="0"/>
          <w:kern w:val="2"/>
          <w:sz w:val="21"/>
          <w:szCs w:val="21"/>
          <w:lang w:val="en-US" w:eastAsia="zh-CN" w:bidi="ar"/>
        </w:rPr>
        <w:t>投标文件必须密封：</w:t>
      </w:r>
    </w:p>
    <w:p w14:paraId="78645C21">
      <w:pPr>
        <w:keepNext w:val="0"/>
        <w:keepLines w:val="0"/>
        <w:widowControl w:val="0"/>
        <w:numPr>
          <w:ilvl w:val="2"/>
          <w:numId w:val="17"/>
        </w:numPr>
        <w:suppressLineNumbers w:val="0"/>
        <w:tabs>
          <w:tab w:val="left" w:pos="851"/>
          <w:tab w:val="clear" w:pos="567"/>
        </w:tabs>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信封或外包装上应当清楚写明投标人名称、项目名称、项目编号、包组号（如有）和“在(谈判文件中规定的开标日期和时间)之前不得启封”的字样。</w:t>
      </w:r>
    </w:p>
    <w:p w14:paraId="07D61B3F">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8F0C29">
      <w:pPr>
        <w:pStyle w:val="3"/>
        <w:widowControl/>
        <w:ind w:left="420" w:leftChars="0" w:hanging="420" w:firstLineChars="0"/>
        <w:jc w:val="center"/>
        <w:rPr>
          <w:rFonts w:hint="eastAsia" w:ascii="宋体" w:hAnsi="宋体" w:eastAsia="宋体" w:cs="宋体"/>
          <w:kern w:val="2"/>
          <w:sz w:val="30"/>
          <w:szCs w:val="30"/>
        </w:rPr>
      </w:pPr>
      <w:r>
        <w:rPr>
          <w:rFonts w:hint="eastAsia" w:ascii="宋体" w:hAnsi="宋体" w:eastAsia="宋体" w:cs="宋体"/>
          <w:kern w:val="2"/>
          <w:sz w:val="30"/>
          <w:szCs w:val="30"/>
        </w:rPr>
        <w:t>投标文件的递交</w:t>
      </w:r>
    </w:p>
    <w:p w14:paraId="04E82AED">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投标文件递交</w:t>
      </w:r>
    </w:p>
    <w:p w14:paraId="7C7C127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投标人的投标文件应在本项目投标截止时间前送达开标地点。</w:t>
      </w:r>
    </w:p>
    <w:p w14:paraId="681B488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逾期送达或者未按照谈判文件要求密封的投标文件，采购人应当拒收。</w:t>
      </w:r>
    </w:p>
    <w:p w14:paraId="68C9C850">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1F25D06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投标文件正本、所有的副本应统一封装在一个信封中，信封密封封口处须加盖投标单位公章（或信封密封封口处粘贴封条并加盖投标单位公章）。</w:t>
      </w:r>
    </w:p>
    <w:p w14:paraId="313FA4D5">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密封包上应注明所规定的开标时间（指征集公告中规定的开标时间）前不准启封的字样。</w:t>
      </w:r>
    </w:p>
    <w:p w14:paraId="4C2E61A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我院将拒绝并原封退回在其规定的投标截止期后收到的任何投标文件。</w:t>
      </w:r>
    </w:p>
    <w:p w14:paraId="138DA225">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投标文件的修改和撤回、撤销</w:t>
      </w:r>
    </w:p>
    <w:p w14:paraId="6C84F55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在投标截止时间前，可以对所递交的投标文件进行补充、修改或者撤回。补充、修改的内容应当按谈判文件要求签署、盖章、密封后，并作为投标文件的组成部分。在投标截止时间之后，投标人不得对其投标文件做任何修改和补充。</w:t>
      </w:r>
    </w:p>
    <w:p w14:paraId="7C82F76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strike/>
          <w:dstrike w:val="0"/>
          <w:kern w:val="2"/>
          <w:sz w:val="21"/>
          <w:szCs w:val="21"/>
        </w:rPr>
      </w:pPr>
      <w:r>
        <w:rPr>
          <w:rFonts w:hint="eastAsia" w:ascii="宋体" w:hAnsi="宋体" w:eastAsia="宋体" w:cs="宋体"/>
          <w:bCs/>
          <w:kern w:val="2"/>
          <w:sz w:val="21"/>
          <w:szCs w:val="21"/>
          <w:lang w:val="en-US" w:eastAsia="zh-CN" w:bidi="ar"/>
        </w:rPr>
        <w:t>投标人在投标截止后或在谈判文件中规定的投标有效期内不可撤销其投标。</w:t>
      </w:r>
      <w:r>
        <w:rPr>
          <w:rFonts w:hint="eastAsia" w:ascii="宋体" w:hAnsi="宋体" w:eastAsia="宋体" w:cs="宋体"/>
          <w:kern w:val="2"/>
          <w:sz w:val="21"/>
          <w:szCs w:val="21"/>
          <w:lang w:val="en-US" w:eastAsia="zh-CN" w:bidi="ar"/>
        </w:rPr>
        <w:t>投标人所提交的投标文件在本项目投标截止时间后均不予退还。</w:t>
      </w:r>
    </w:p>
    <w:p w14:paraId="1BF08A58">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黑体"/>
          <w:bCs/>
          <w:kern w:val="2"/>
          <w:sz w:val="21"/>
          <w:szCs w:val="21"/>
        </w:rPr>
      </w:pPr>
      <w:r>
        <w:rPr>
          <w:rFonts w:hint="eastAsia" w:ascii="宋体" w:hAnsi="宋体" w:eastAsia="宋体" w:cs="宋体"/>
          <w:b/>
          <w:bCs/>
          <w:kern w:val="2"/>
          <w:sz w:val="21"/>
          <w:szCs w:val="21"/>
          <w:lang w:val="en-US" w:eastAsia="zh-CN" w:bidi="ar"/>
        </w:rPr>
        <w:t>质疑</w:t>
      </w:r>
    </w:p>
    <w:p w14:paraId="30495DFD">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质疑期限：</w:t>
      </w:r>
    </w:p>
    <w:p w14:paraId="3C3769C4">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17.1.1.供应商认为采购文件的内容损害其权益的，应在采购文件公布之日起七个工作日内。</w:t>
      </w:r>
    </w:p>
    <w:p w14:paraId="65B63717">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17.1.2.供应商认为采购过程损害其权益的，应在各采购程序环节结束之日起七个工作日内。</w:t>
      </w:r>
    </w:p>
    <w:p w14:paraId="558CF59C">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17.1.3.供应商认为中标或者成交结果以及评标委员会、谈判小组、竞价小组组成人员损害其权益的，应在中标或者成交结果公示之日起七个工作日内。</w:t>
      </w:r>
    </w:p>
    <w:p w14:paraId="37FAAFF7">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提交要求：</w:t>
      </w:r>
    </w:p>
    <w:p w14:paraId="0DC6E72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17.2.1.以书面形式向采购人</w:t>
      </w:r>
      <w:r>
        <w:rPr>
          <w:rFonts w:hint="eastAsia" w:ascii="宋体" w:hAnsi="宋体" w:eastAsia="宋体" w:cs="宋体"/>
          <w:kern w:val="2"/>
          <w:sz w:val="21"/>
          <w:szCs w:val="21"/>
          <w:lang w:val="en-US" w:eastAsia="zh-CN" w:bidi="ar"/>
        </w:rPr>
        <w:t>一次性提出针对同一采购程序环节的</w:t>
      </w:r>
      <w:r>
        <w:rPr>
          <w:rFonts w:hint="eastAsia" w:ascii="宋体" w:hAnsi="宋体" w:eastAsia="宋体" w:cs="宋体"/>
          <w:bCs/>
          <w:kern w:val="2"/>
          <w:sz w:val="21"/>
          <w:szCs w:val="21"/>
          <w:lang w:val="en-US" w:eastAsia="zh-CN" w:bidi="ar"/>
        </w:rPr>
        <w:t>质疑。</w:t>
      </w:r>
    </w:p>
    <w:p w14:paraId="142A326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17.2.2.以联合体形式参加政府采购活动的，其质疑应当由组成联合体的所有供应商共同提出。</w:t>
      </w:r>
    </w:p>
    <w:p w14:paraId="5C29C88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17.2.3.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51DA09E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default" w:ascii="Calibri" w:hAnsi="宋体" w:eastAsia="宋体" w:cs="Times New Roman"/>
          <w:kern w:val="2"/>
          <w:sz w:val="21"/>
          <w:szCs w:val="21"/>
        </w:rPr>
      </w:pPr>
      <w:r>
        <w:rPr>
          <w:rFonts w:hint="eastAsia" w:ascii="宋体" w:hAnsi="宋体" w:eastAsia="宋体" w:cs="宋体"/>
          <w:kern w:val="2"/>
          <w:sz w:val="21"/>
          <w:szCs w:val="21"/>
          <w:lang w:val="en-US" w:eastAsia="zh-CN" w:bidi="ar"/>
        </w:rPr>
        <w:t>17.2.4.供应商捏造事实、提供虚假材料或者以非法手段取得证明材料不能作为质疑的证明材料。</w:t>
      </w:r>
    </w:p>
    <w:p w14:paraId="6C2F30D2">
      <w:pPr>
        <w:keepNext w:val="0"/>
        <w:keepLines w:val="0"/>
        <w:widowControl w:val="0"/>
        <w:suppressLineNumbers w:val="0"/>
        <w:tabs>
          <w:tab w:val="left" w:pos="1134"/>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kern w:val="2"/>
          <w:sz w:val="21"/>
          <w:szCs w:val="21"/>
          <w:lang w:val="en-US" w:eastAsia="zh-CN" w:bidi="ar"/>
        </w:rPr>
        <w:t>17.2.5.采购人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31498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17.2.6.采购人接收以书面形式递交的质疑函，接收质疑函的联系人、联系方式和通讯地址见征集公告。</w:t>
      </w:r>
    </w:p>
    <w:p w14:paraId="3B6D6DE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17.2.7.提出质疑的供应商应当是参与所质疑项目采购活动的供应商。</w:t>
      </w:r>
    </w:p>
    <w:p w14:paraId="2D0DD1A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17.2.8.供应商质疑不成立，或者成立但未对中标、成交结果构成影响的，继续开展采购活动。</w:t>
      </w:r>
    </w:p>
    <w:p w14:paraId="75E0416C">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17.2.9.供应商质疑成立且影响或者可能影响中标、成交结果的，按照下列情况处理：</w:t>
      </w:r>
    </w:p>
    <w:p w14:paraId="195A8896">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17.2.10.对采购文件提出的质疑，依法通过澄清或者修改可以继续开展采购活动的，澄清或者修改采购文件后继续开展采购活动；否则应当修改采购文件后重新开展采购活动。</w:t>
      </w:r>
    </w:p>
    <w:p w14:paraId="4E091E78">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违约责任</w:t>
      </w:r>
    </w:p>
    <w:p w14:paraId="49A6DE2C">
      <w:pPr>
        <w:keepNext w:val="0"/>
        <w:keepLines w:val="0"/>
        <w:widowControl w:val="0"/>
        <w:numPr>
          <w:ilvl w:val="1"/>
          <w:numId w:val="17"/>
        </w:numPr>
        <w:suppressLineNumbers w:val="0"/>
        <w:snapToGrid w:val="0"/>
        <w:spacing w:before="0" w:beforeAutospacing="0" w:after="0" w:afterAutospacing="0" w:line="360" w:lineRule="auto"/>
        <w:ind w:left="567" w:leftChars="0" w:right="0" w:hanging="567" w:firstLineChars="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供应商若在政府采购活动存在下列违法行为，给采购人造成损失的，应当承担赔偿责任。</w:t>
      </w:r>
    </w:p>
    <w:p w14:paraId="4721F0EB">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）未按照规定签订、履行采购合同；</w:t>
      </w:r>
    </w:p>
    <w:p w14:paraId="1068B3D9">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）提供虚假材料谋取中标、成交的；</w:t>
      </w:r>
    </w:p>
    <w:p w14:paraId="0E578ED0">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3</w:t>
      </w:r>
      <w:r>
        <w:rPr>
          <w:rFonts w:hint="eastAsia" w:ascii="宋体" w:hAnsi="宋体" w:eastAsia="宋体" w:cs="宋体"/>
          <w:kern w:val="2"/>
          <w:sz w:val="21"/>
          <w:szCs w:val="21"/>
          <w:lang w:val="en-US" w:eastAsia="zh-CN" w:bidi="ar"/>
        </w:rPr>
        <w:t>）采取不正当手段诋毁、排挤其他供应商的；</w:t>
      </w:r>
    </w:p>
    <w:p w14:paraId="14D2E0A5">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4</w:t>
      </w:r>
      <w:r>
        <w:rPr>
          <w:rFonts w:hint="eastAsia" w:ascii="宋体" w:hAnsi="宋体" w:eastAsia="宋体" w:cs="宋体"/>
          <w:kern w:val="2"/>
          <w:sz w:val="21"/>
          <w:szCs w:val="21"/>
          <w:lang w:val="en-US" w:eastAsia="zh-CN" w:bidi="ar"/>
        </w:rPr>
        <w:t>）与其他供应商恶意串通的；</w:t>
      </w:r>
    </w:p>
    <w:p w14:paraId="77006808">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5</w:t>
      </w:r>
      <w:r>
        <w:rPr>
          <w:rFonts w:hint="eastAsia" w:ascii="宋体" w:hAnsi="宋体" w:eastAsia="宋体" w:cs="宋体"/>
          <w:kern w:val="2"/>
          <w:sz w:val="21"/>
          <w:szCs w:val="21"/>
          <w:lang w:val="en-US" w:eastAsia="zh-CN" w:bidi="ar"/>
        </w:rPr>
        <w:t>）拒绝有关部门监督检查或者提供虚假情况的；</w:t>
      </w:r>
    </w:p>
    <w:p w14:paraId="2C6F11D9">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6</w:t>
      </w:r>
      <w:r>
        <w:rPr>
          <w:rFonts w:hint="eastAsia" w:ascii="宋体" w:hAnsi="宋体" w:eastAsia="宋体" w:cs="宋体"/>
          <w:kern w:val="2"/>
          <w:sz w:val="21"/>
          <w:szCs w:val="21"/>
          <w:lang w:val="en-US" w:eastAsia="zh-CN" w:bidi="ar"/>
        </w:rPr>
        <w:t>）经主管部门认定的其他违法采购相关法律法规的行为。</w:t>
      </w:r>
    </w:p>
    <w:p w14:paraId="6F58769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中标通知书</w:t>
      </w:r>
    </w:p>
    <w:p w14:paraId="406D7823">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中标人确定后，采购人将在发布采购信息公告的媒体上发布中标公告，并向中标人发出《中标通知书》，其中《中标通知书》对中标人和采购人具有同等法律效力。</w:t>
      </w:r>
    </w:p>
    <w:p w14:paraId="0118053D">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《中标通知书》将作为授予合同资格的合法依据，是合同的一个组成部分。</w:t>
      </w:r>
    </w:p>
    <w:p w14:paraId="5D381682">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黑体"/>
          <w:b/>
          <w:bCs/>
          <w:kern w:val="2"/>
          <w:sz w:val="21"/>
          <w:szCs w:val="21"/>
          <w:lang w:val="en-US" w:eastAsia="zh-CN" w:bidi="ar"/>
        </w:rPr>
        <w:t xml:space="preserve"> </w:t>
      </w:r>
    </w:p>
    <w:p w14:paraId="0C2D852F">
      <w:pPr>
        <w:pStyle w:val="3"/>
        <w:widowControl/>
        <w:ind w:left="420" w:leftChars="0" w:hanging="420" w:firstLineChars="0"/>
        <w:jc w:val="center"/>
        <w:outlineLvl w:val="0"/>
        <w:rPr>
          <w:rFonts w:hint="eastAsia" w:ascii="宋体" w:hAnsi="宋体" w:eastAsia="宋体" w:cs="宋体"/>
          <w:kern w:val="2"/>
          <w:sz w:val="30"/>
          <w:szCs w:val="30"/>
        </w:rPr>
      </w:pPr>
      <w:r>
        <w:rPr>
          <w:rFonts w:hint="eastAsia" w:ascii="宋体" w:hAnsi="宋体" w:eastAsia="宋体" w:cs="宋体"/>
          <w:kern w:val="2"/>
          <w:sz w:val="30"/>
          <w:szCs w:val="30"/>
        </w:rPr>
        <w:t>授予合同</w:t>
      </w:r>
    </w:p>
    <w:p w14:paraId="22F9A3A1">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合同的订立</w:t>
      </w:r>
    </w:p>
    <w:p w14:paraId="7CAD729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采购人应当自中标通知书发出之日起十个工作日内，按照谈判文件和中标人投标文件的约定，与中标人签订书面合同。所签订的合同不得对谈判文件和中标人投标文件作实质性修改。</w:t>
      </w:r>
    </w:p>
    <w:p w14:paraId="38B0934A">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采购人不得向中标人提出任何不合理的要求，作为签订合同的条件，不得与中标人私下订立背离合同实质性内容的协议。 </w:t>
      </w:r>
    </w:p>
    <w:p w14:paraId="5B2E0F1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自政府采购合同签订之日起2个工作日内，采购人应将政府采购合同在指定的渠道公告，但政府采购合同中涉及国家秘密、商业秘密的内容除外。</w:t>
      </w:r>
    </w:p>
    <w:p w14:paraId="7FC0C4D1">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政府采购合同签订之日起10日内，采购人应将政府采购合同副本报同级监管部门备案和有关部门备案。</w:t>
      </w:r>
    </w:p>
    <w:p w14:paraId="3AFE9303">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合同的履行</w:t>
      </w:r>
    </w:p>
    <w:p w14:paraId="16A92A3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b/>
          <w:sz w:val="52"/>
          <w:szCs w:val="52"/>
          <w:highlight w:val="none"/>
        </w:rPr>
      </w:pPr>
      <w:r>
        <w:rPr>
          <w:rFonts w:hint="eastAsia" w:ascii="宋体" w:hAnsi="宋体" w:eastAsia="宋体" w:cs="宋体"/>
          <w:kern w:val="2"/>
          <w:sz w:val="21"/>
          <w:szCs w:val="21"/>
          <w:lang w:val="en-US" w:eastAsia="zh-CN" w:bidi="ar"/>
        </w:rPr>
        <w:t>政府采购合同履行中，采购人需追加与合同标的相同的货物、工程或者服务的，在不改变合同其他条款的前提下，可以与供应商签订补充合同，但所补充合同的采购金额不得超过原合同采购金额的百分之十。签订补充合同的必须按规定备案。</w:t>
      </w:r>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08" w:name="_Toc109889663"/>
      <w:bookmarkStart w:id="109" w:name="_Toc318878971"/>
      <w:bookmarkStart w:id="110" w:name="_Toc128037689"/>
      <w:bookmarkStart w:id="111" w:name="_Toc532"/>
      <w:bookmarkStart w:id="112" w:name="_Toc374439153"/>
    </w:p>
    <w:p w14:paraId="493530C0">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7ECEB98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69DDA8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F6D555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7B113EA5">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26DB79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D78C624">
      <w:pPr>
        <w:rPr>
          <w:rFonts w:hint="eastAsia" w:ascii="黑体" w:hAnsi="宋体" w:eastAsia="黑体" w:cs="黑体"/>
          <w:b/>
          <w:bCs/>
          <w:kern w:val="44"/>
          <w:sz w:val="44"/>
          <w:szCs w:val="44"/>
        </w:rPr>
      </w:pPr>
    </w:p>
    <w:p w14:paraId="0F50D384">
      <w:pPr>
        <w:rPr>
          <w:rFonts w:hint="eastAsia" w:ascii="黑体" w:hAnsi="宋体" w:eastAsia="黑体" w:cs="黑体"/>
          <w:b/>
          <w:bCs/>
          <w:kern w:val="44"/>
          <w:sz w:val="44"/>
          <w:szCs w:val="44"/>
        </w:rPr>
      </w:pPr>
    </w:p>
    <w:p w14:paraId="32E13BE9">
      <w:pPr>
        <w:rPr>
          <w:rFonts w:hint="eastAsia" w:ascii="黑体" w:hAnsi="宋体" w:eastAsia="黑体" w:cs="黑体"/>
          <w:b/>
          <w:bCs/>
          <w:kern w:val="44"/>
          <w:sz w:val="44"/>
          <w:szCs w:val="44"/>
        </w:rPr>
      </w:pPr>
    </w:p>
    <w:p w14:paraId="6D829F0E">
      <w:pPr>
        <w:rPr>
          <w:rFonts w:hint="eastAsia" w:ascii="黑体" w:hAnsi="宋体" w:eastAsia="黑体" w:cs="黑体"/>
          <w:b/>
          <w:bCs/>
          <w:kern w:val="44"/>
          <w:sz w:val="44"/>
          <w:szCs w:val="44"/>
        </w:rPr>
      </w:pPr>
    </w:p>
    <w:p w14:paraId="13BA9C48">
      <w:pPr>
        <w:rPr>
          <w:rFonts w:hint="eastAsia" w:ascii="黑体" w:hAnsi="宋体" w:eastAsia="黑体" w:cs="黑体"/>
          <w:b/>
          <w:bCs/>
          <w:kern w:val="44"/>
          <w:sz w:val="44"/>
          <w:szCs w:val="44"/>
        </w:rPr>
      </w:pPr>
    </w:p>
    <w:p w14:paraId="14358EEB">
      <w:pPr>
        <w:rPr>
          <w:rFonts w:hint="eastAsia" w:ascii="黑体" w:hAnsi="宋体" w:eastAsia="黑体" w:cs="黑体"/>
          <w:b/>
          <w:bCs/>
          <w:kern w:val="44"/>
          <w:sz w:val="44"/>
          <w:szCs w:val="44"/>
        </w:rPr>
      </w:pPr>
    </w:p>
    <w:p w14:paraId="7DA5F9B0">
      <w:pPr>
        <w:rPr>
          <w:rFonts w:hint="eastAsia" w:ascii="黑体" w:hAnsi="宋体" w:eastAsia="黑体" w:cs="黑体"/>
          <w:b/>
          <w:bCs/>
          <w:kern w:val="44"/>
          <w:sz w:val="44"/>
          <w:szCs w:val="44"/>
        </w:rPr>
      </w:pPr>
    </w:p>
    <w:p w14:paraId="75E11E50">
      <w:pPr>
        <w:rPr>
          <w:rFonts w:hint="eastAsia" w:ascii="黑体" w:hAnsi="宋体" w:eastAsia="黑体" w:cs="黑体"/>
          <w:b/>
          <w:bCs/>
          <w:kern w:val="44"/>
          <w:sz w:val="44"/>
          <w:szCs w:val="44"/>
        </w:rPr>
      </w:pPr>
    </w:p>
    <w:p w14:paraId="329961DD">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7D1FD6AD">
      <w:pPr>
        <w:rPr>
          <w:rFonts w:hint="eastAsia"/>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2BD82CF9">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3" w:name="_Toc13149_WPSOffice_Level1"/>
      <w:r>
        <w:rPr>
          <w:rFonts w:hint="eastAsia" w:ascii="仿宋_GB2312" w:hAnsi="仿宋_GB2312" w:eastAsia="仿宋_GB2312" w:cs="仿宋_GB2312"/>
          <w:b/>
          <w:color w:val="auto"/>
          <w:sz w:val="28"/>
          <w:szCs w:val="28"/>
          <w:highlight w:val="none"/>
        </w:rPr>
        <w:t>第一条  合同标的</w:t>
      </w:r>
      <w:bookmarkEnd w:id="113"/>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4" w:name="_Toc663_WPSOffice_Level1"/>
      <w:r>
        <w:rPr>
          <w:rFonts w:hint="eastAsia" w:ascii="仿宋_GB2312" w:hAnsi="仿宋_GB2312" w:eastAsia="仿宋_GB2312" w:cs="仿宋_GB2312"/>
          <w:b/>
          <w:color w:val="auto"/>
          <w:sz w:val="28"/>
          <w:szCs w:val="28"/>
          <w:highlight w:val="none"/>
        </w:rPr>
        <w:t>第二条  合同价款</w:t>
      </w:r>
      <w:bookmarkEnd w:id="114"/>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5"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5"/>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6" w:name="_Toc2412_WPSOffice_Level1"/>
      <w:r>
        <w:rPr>
          <w:rFonts w:hint="eastAsia" w:ascii="仿宋_GB2312" w:hAnsi="仿宋_GB2312" w:eastAsia="仿宋_GB2312" w:cs="仿宋_GB2312"/>
          <w:b/>
          <w:color w:val="auto"/>
          <w:sz w:val="28"/>
          <w:szCs w:val="28"/>
          <w:highlight w:val="none"/>
        </w:rPr>
        <w:t>第九条 质量保证及售后服务</w:t>
      </w:r>
      <w:bookmarkEnd w:id="116"/>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7"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7"/>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8"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18"/>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19"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19"/>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0" w:name="_Toc12695_WPSOffice_Level1"/>
      <w:r>
        <w:rPr>
          <w:rFonts w:hint="eastAsia" w:ascii="仿宋_GB2312" w:hAnsi="仿宋_GB2312" w:eastAsia="仿宋_GB2312" w:cs="仿宋_GB2312"/>
          <w:b/>
          <w:color w:val="auto"/>
          <w:sz w:val="28"/>
          <w:szCs w:val="28"/>
          <w:highlight w:val="none"/>
        </w:rPr>
        <w:t>附则</w:t>
      </w:r>
      <w:bookmarkEnd w:id="120"/>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1"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1"/>
      <w:bookmarkStart w:id="122"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2"/>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3" w:name="_Toc28445_WPSOffice_Level1"/>
      <w:r>
        <w:rPr>
          <w:rFonts w:hint="eastAsia" w:ascii="仿宋_GB2312" w:hAnsi="仿宋_GB2312" w:eastAsia="仿宋_GB2312" w:cs="仿宋_GB2312"/>
          <w:color w:val="auto"/>
          <w:sz w:val="28"/>
          <w:szCs w:val="28"/>
          <w:highlight w:val="none"/>
        </w:rPr>
        <w:t>附件三：廉洁从业承诺书（员工承诺</w:t>
      </w:r>
      <w:bookmarkEnd w:id="123"/>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2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08"/>
      <w:bookmarkEnd w:id="109"/>
      <w:bookmarkEnd w:id="110"/>
      <w:bookmarkEnd w:id="111"/>
      <w:bookmarkEnd w:id="112"/>
    </w:p>
    <w:p w14:paraId="26098853">
      <w:pPr>
        <w:bidi w:val="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9ECD26-5222-49E8-A127-7DDAF1CAB27F}"/>
  </w:font>
  <w:font w:name="黑体">
    <w:panose1 w:val="02010609060101010101"/>
    <w:charset w:val="86"/>
    <w:family w:val="auto"/>
    <w:pitch w:val="default"/>
    <w:sig w:usb0="800002BF" w:usb1="38CF7CFA" w:usb2="00000016" w:usb3="00000000" w:csb0="00040001" w:csb1="00000000"/>
    <w:embedRegular r:id="rId2" w:fontKey="{AB6097E2-3B4D-4315-83E2-6555C53F8F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332EB06-2ED3-4954-8472-3C25FD57996F}"/>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4239BAA4-E22C-4D56-836A-4D67B627064E}"/>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5" w:fontKey="{85DFA013-9D0A-4023-B7B5-2128204A4ADC}"/>
  </w:font>
  <w:font w:name="Wingdings 2">
    <w:panose1 w:val="05020102010507070707"/>
    <w:charset w:val="00"/>
    <w:family w:val="auto"/>
    <w:pitch w:val="default"/>
    <w:sig w:usb0="00000000" w:usb1="00000000" w:usb2="00000000" w:usb3="00000000" w:csb0="80000000" w:csb1="00000000"/>
    <w:embedRegular r:id="rId6" w:fontKey="{74E38E64-A91D-4F59-86AA-F86453D1F5D1}"/>
  </w:font>
  <w:font w:name="方正仿宋_GBK">
    <w:altName w:val="微软雅黑"/>
    <w:panose1 w:val="00000000000000000000"/>
    <w:charset w:val="86"/>
    <w:family w:val="auto"/>
    <w:pitch w:val="default"/>
    <w:sig w:usb0="00000000" w:usb1="00000000" w:usb2="00000000" w:usb3="00000000" w:csb0="00040000" w:csb1="00000000"/>
    <w:embedRegular r:id="rId7" w:fontKey="{5060CB08-BB2C-42B6-90A9-0830FDE838CB}"/>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8" w:fontKey="{8BF3B62D-1645-429D-B379-7FDDDB1836DD}"/>
  </w:font>
  <w:font w:name="方正小标宋_GBK">
    <w:panose1 w:val="02000000000000000000"/>
    <w:charset w:val="86"/>
    <w:family w:val="script"/>
    <w:pitch w:val="default"/>
    <w:sig w:usb0="A00002BF" w:usb1="38CF7CFA" w:usb2="00082016" w:usb3="00000000" w:csb0="00040001" w:csb1="00000000"/>
    <w:embedRegular r:id="rId9" w:fontKey="{FA60AE7A-4237-4BB0-9E1D-8021963EC019}"/>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0"/>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A0330"/>
    <w:multiLevelType w:val="multilevel"/>
    <w:tmpl w:val="B91A0330"/>
    <w:lvl w:ilvl="0" w:tentative="0">
      <w:start w:val="2"/>
      <w:numFmt w:val="decimal"/>
      <w:lvlText w:val="(%1)"/>
      <w:lvlJc w:val="left"/>
      <w:pPr>
        <w:tabs>
          <w:tab w:val="left" w:pos="1200"/>
        </w:tabs>
        <w:ind w:left="1200" w:hanging="360"/>
      </w:pPr>
      <w:rPr>
        <w:rFonts w:hint="default" w:ascii="Times New Roman" w:hAnsi="Times New Roman" w:cs="Times New Roman"/>
      </w:rPr>
    </w:lvl>
    <w:lvl w:ilvl="1" w:tentative="0">
      <w:start w:val="1"/>
      <w:numFmt w:val="decimal"/>
      <w:lvlText w:val="%2．"/>
      <w:lvlJc w:val="left"/>
      <w:pPr>
        <w:tabs>
          <w:tab w:val="left" w:pos="1620"/>
        </w:tabs>
        <w:ind w:left="1620" w:hanging="360"/>
      </w:pPr>
      <w:rPr>
        <w:rFonts w:hint="eastAsia" w:ascii="宋体" w:hAnsi="宋体" w:eastAsia="宋体" w:cs="宋体"/>
      </w:rPr>
    </w:lvl>
    <w:lvl w:ilvl="2" w:tentative="0">
      <w:start w:val="1"/>
      <w:numFmt w:val="lowerRoman"/>
      <w:lvlText w:val="%3."/>
      <w:lvlJc w:val="right"/>
      <w:pPr>
        <w:tabs>
          <w:tab w:val="left" w:pos="2100"/>
        </w:tabs>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FAB9DA19"/>
    <w:multiLevelType w:val="multilevel"/>
    <w:tmpl w:val="FAB9DA19"/>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FD88630E"/>
    <w:multiLevelType w:val="multilevel"/>
    <w:tmpl w:val="FD88630E"/>
    <w:lvl w:ilvl="0" w:tentative="0">
      <w:start w:val="1"/>
      <w:numFmt w:val="decimal"/>
      <w:lvlText w:val="%1"/>
      <w:lvlJc w:val="left"/>
      <w:pPr>
        <w:tabs>
          <w:tab w:val="left" w:pos="425"/>
        </w:tabs>
        <w:ind w:left="425" w:hanging="425"/>
      </w:pPr>
      <w:rPr>
        <w:rFonts w:hint="eastAsia" w:ascii="宋体" w:hAnsi="宋体" w:eastAsia="宋体" w:cs="宋体"/>
      </w:rPr>
    </w:lvl>
    <w:lvl w:ilvl="1" w:tentative="0">
      <w:start w:val="1"/>
      <w:numFmt w:val="decimal"/>
      <w:lvlText w:val="%1.%2."/>
      <w:lvlJc w:val="left"/>
      <w:pPr>
        <w:tabs>
          <w:tab w:val="left" w:pos="567"/>
        </w:tabs>
        <w:ind w:left="567" w:hanging="567"/>
      </w:pPr>
      <w:rPr>
        <w:rFonts w:hint="eastAsia" w:ascii="宋体" w:hAnsi="宋体" w:eastAsia="宋体" w:cs="宋体"/>
        <w:b w:val="0"/>
        <w:sz w:val="21"/>
        <w:szCs w:val="21"/>
      </w:rPr>
    </w:lvl>
    <w:lvl w:ilvl="2" w:tentative="0">
      <w:start w:val="1"/>
      <w:numFmt w:val="decimal"/>
      <w:lvlText w:val="%1.%2.%3."/>
      <w:lvlJc w:val="left"/>
      <w:pPr>
        <w:tabs>
          <w:tab w:val="left" w:pos="567"/>
        </w:tabs>
        <w:ind w:left="567" w:hanging="567"/>
      </w:pPr>
      <w:rPr>
        <w:rFonts w:hint="eastAsia" w:ascii="宋体" w:hAnsi="宋体" w:eastAsia="宋体" w:cs="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cs="宋体"/>
      </w:rPr>
    </w:lvl>
    <w:lvl w:ilvl="4" w:tentative="0">
      <w:start w:val="1"/>
      <w:numFmt w:val="decimal"/>
      <w:lvlText w:val="%1.%2.%3.%4.%5."/>
      <w:lvlJc w:val="left"/>
      <w:pPr>
        <w:tabs>
          <w:tab w:val="left" w:pos="992"/>
        </w:tabs>
        <w:ind w:left="992" w:hanging="992"/>
      </w:pPr>
      <w:rPr>
        <w:rFonts w:hint="eastAsia" w:ascii="宋体" w:hAnsi="宋体" w:eastAsia="宋体" w:cs="宋体"/>
      </w:rPr>
    </w:lvl>
    <w:lvl w:ilvl="5" w:tentative="0">
      <w:start w:val="1"/>
      <w:numFmt w:val="decimal"/>
      <w:lvlText w:val="%1.%2.%3.%4.%5.%6."/>
      <w:lvlJc w:val="left"/>
      <w:pPr>
        <w:tabs>
          <w:tab w:val="left" w:pos="1134"/>
        </w:tabs>
        <w:ind w:left="1134" w:hanging="1134"/>
      </w:pPr>
      <w:rPr>
        <w:rFonts w:hint="eastAsia" w:ascii="宋体" w:hAnsi="宋体" w:eastAsia="宋体" w:cs="宋体"/>
      </w:rPr>
    </w:lvl>
    <w:lvl w:ilvl="6" w:tentative="0">
      <w:start w:val="1"/>
      <w:numFmt w:val="decimal"/>
      <w:lvlText w:val="%1.%2.%3.%4.%5.%6.%7."/>
      <w:lvlJc w:val="left"/>
      <w:pPr>
        <w:tabs>
          <w:tab w:val="left" w:pos="1276"/>
        </w:tabs>
        <w:ind w:left="1276" w:hanging="1276"/>
      </w:pPr>
      <w:rPr>
        <w:rFonts w:hint="eastAsia" w:ascii="宋体" w:hAnsi="宋体" w:eastAsia="宋体" w:cs="宋体"/>
      </w:rPr>
    </w:lvl>
    <w:lvl w:ilvl="7" w:tentative="0">
      <w:start w:val="1"/>
      <w:numFmt w:val="decimal"/>
      <w:lvlText w:val="%1.%2.%3.%4.%5.%6.%7.%8."/>
      <w:lvlJc w:val="left"/>
      <w:pPr>
        <w:tabs>
          <w:tab w:val="left" w:pos="1418"/>
        </w:tabs>
        <w:ind w:left="1418" w:hanging="1418"/>
      </w:pPr>
      <w:rPr>
        <w:rFonts w:hint="eastAsia" w:ascii="宋体" w:hAnsi="宋体" w:eastAsia="宋体" w:cs="宋体"/>
      </w:rPr>
    </w:lvl>
    <w:lvl w:ilvl="8" w:tentative="0">
      <w:start w:val="1"/>
      <w:numFmt w:val="decimal"/>
      <w:lvlText w:val="%1.%2.%3.%4.%5.%6.%7.%8.%9."/>
      <w:lvlJc w:val="left"/>
      <w:pPr>
        <w:tabs>
          <w:tab w:val="left" w:pos="1559"/>
        </w:tabs>
        <w:ind w:left="1559" w:hanging="1559"/>
      </w:pPr>
      <w:rPr>
        <w:rFonts w:hint="eastAsia" w:ascii="宋体" w:hAnsi="宋体" w:eastAsia="宋体" w:cs="宋体"/>
      </w:rPr>
    </w:lvl>
  </w:abstractNum>
  <w:abstractNum w:abstractNumId="5">
    <w:nsid w:val="0B8F3126"/>
    <w:multiLevelType w:val="singleLevel"/>
    <w:tmpl w:val="0B8F3126"/>
    <w:lvl w:ilvl="0" w:tentative="0">
      <w:start w:val="3"/>
      <w:numFmt w:val="chineseCounting"/>
      <w:suff w:val="nothing"/>
      <w:lvlText w:val="%1、"/>
      <w:lvlJc w:val="left"/>
      <w:rPr>
        <w:rFonts w:hint="eastAsia"/>
      </w:rPr>
    </w:lvl>
  </w:abstractNum>
  <w:abstractNum w:abstractNumId="6">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0EC10D5"/>
    <w:multiLevelType w:val="singleLevel"/>
    <w:tmpl w:val="40EC10D5"/>
    <w:lvl w:ilvl="0" w:tentative="0">
      <w:start w:val="1"/>
      <w:numFmt w:val="chineseCounting"/>
      <w:suff w:val="space"/>
      <w:lvlText w:val="第%1章"/>
      <w:lvlJc w:val="left"/>
      <w:rPr>
        <w:rFonts w:hint="eastAsia"/>
      </w:rPr>
    </w:lvl>
  </w:abstractNum>
  <w:abstractNum w:abstractNumId="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0FD0FAC"/>
    <w:multiLevelType w:val="singleLevel"/>
    <w:tmpl w:val="70FD0FAC"/>
    <w:lvl w:ilvl="0" w:tentative="0">
      <w:start w:val="5"/>
      <w:numFmt w:val="chineseCounting"/>
      <w:suff w:val="space"/>
      <w:lvlText w:val="第%1章"/>
      <w:lvlJc w:val="left"/>
      <w:rPr>
        <w:rFonts w:hint="eastAsia"/>
      </w:r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8"/>
  </w:num>
  <w:num w:numId="7">
    <w:abstractNumId w:val="6"/>
  </w:num>
  <w:num w:numId="8">
    <w:abstractNumId w:val="3"/>
  </w:num>
  <w:num w:numId="9">
    <w:abstractNumId w:val="13"/>
  </w:num>
  <w:num w:numId="10">
    <w:abstractNumId w:val="1"/>
  </w:num>
  <w:num w:numId="11">
    <w:abstractNumId w:val="10"/>
  </w:num>
  <w:num w:numId="12">
    <w:abstractNumId w:val="2"/>
  </w:num>
  <w:num w:numId="13">
    <w:abstractNumId w:val="0"/>
  </w:num>
  <w:num w:numId="14">
    <w:abstractNumId w:val="16"/>
  </w:num>
  <w:num w:numId="15">
    <w:abstractNumId w:val="1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F4C1B"/>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824295"/>
    <w:rsid w:val="03CA1333"/>
    <w:rsid w:val="03D86CBB"/>
    <w:rsid w:val="04A41E29"/>
    <w:rsid w:val="0586171E"/>
    <w:rsid w:val="060E1FD1"/>
    <w:rsid w:val="062A1835"/>
    <w:rsid w:val="07D60EE8"/>
    <w:rsid w:val="093B7E0B"/>
    <w:rsid w:val="0C831895"/>
    <w:rsid w:val="0E1B2C35"/>
    <w:rsid w:val="0F847DFE"/>
    <w:rsid w:val="0F8A1C07"/>
    <w:rsid w:val="10437371"/>
    <w:rsid w:val="13272F7A"/>
    <w:rsid w:val="13CA0FD2"/>
    <w:rsid w:val="14DA7639"/>
    <w:rsid w:val="167968A8"/>
    <w:rsid w:val="168261AD"/>
    <w:rsid w:val="1A0F0637"/>
    <w:rsid w:val="1AC75CBA"/>
    <w:rsid w:val="1ACD08AB"/>
    <w:rsid w:val="1D740F3F"/>
    <w:rsid w:val="1FC04AB6"/>
    <w:rsid w:val="20857E4D"/>
    <w:rsid w:val="2110276B"/>
    <w:rsid w:val="217A1947"/>
    <w:rsid w:val="22DA20BB"/>
    <w:rsid w:val="24CC6443"/>
    <w:rsid w:val="25D61528"/>
    <w:rsid w:val="27A32756"/>
    <w:rsid w:val="28636538"/>
    <w:rsid w:val="28774BB2"/>
    <w:rsid w:val="292F0982"/>
    <w:rsid w:val="2AD85138"/>
    <w:rsid w:val="2B5F71BD"/>
    <w:rsid w:val="2BC25ADE"/>
    <w:rsid w:val="2BEF1BE2"/>
    <w:rsid w:val="2C2F1E92"/>
    <w:rsid w:val="2CAA6F1D"/>
    <w:rsid w:val="2DAB715E"/>
    <w:rsid w:val="2F746B39"/>
    <w:rsid w:val="2FEF24C1"/>
    <w:rsid w:val="32494863"/>
    <w:rsid w:val="32A7178F"/>
    <w:rsid w:val="348C0A37"/>
    <w:rsid w:val="34D04DC8"/>
    <w:rsid w:val="34D95BA1"/>
    <w:rsid w:val="36F16FEE"/>
    <w:rsid w:val="37436ACA"/>
    <w:rsid w:val="38312021"/>
    <w:rsid w:val="38404012"/>
    <w:rsid w:val="38C033A5"/>
    <w:rsid w:val="3A4F4F44"/>
    <w:rsid w:val="3B9E3EEA"/>
    <w:rsid w:val="3CC12B7D"/>
    <w:rsid w:val="3CFF2687"/>
    <w:rsid w:val="3D691D61"/>
    <w:rsid w:val="3FF83425"/>
    <w:rsid w:val="41894625"/>
    <w:rsid w:val="42961172"/>
    <w:rsid w:val="44B33DBE"/>
    <w:rsid w:val="44ED4447"/>
    <w:rsid w:val="46062A6F"/>
    <w:rsid w:val="466C27DB"/>
    <w:rsid w:val="466F1003"/>
    <w:rsid w:val="46E84D7E"/>
    <w:rsid w:val="474D4A8F"/>
    <w:rsid w:val="47507FEA"/>
    <w:rsid w:val="49871B07"/>
    <w:rsid w:val="49BE56DF"/>
    <w:rsid w:val="4A0517DE"/>
    <w:rsid w:val="4DAD7DEB"/>
    <w:rsid w:val="4E1F24C4"/>
    <w:rsid w:val="4E8100AD"/>
    <w:rsid w:val="4E8E5256"/>
    <w:rsid w:val="4F0F12CA"/>
    <w:rsid w:val="4F560168"/>
    <w:rsid w:val="511864D9"/>
    <w:rsid w:val="51D63AF4"/>
    <w:rsid w:val="521F3077"/>
    <w:rsid w:val="558214CD"/>
    <w:rsid w:val="5597374C"/>
    <w:rsid w:val="56E36785"/>
    <w:rsid w:val="580B4B95"/>
    <w:rsid w:val="58AF7528"/>
    <w:rsid w:val="58C53577"/>
    <w:rsid w:val="5A2F6381"/>
    <w:rsid w:val="5B4A22D1"/>
    <w:rsid w:val="5BC7458E"/>
    <w:rsid w:val="5CAC08DD"/>
    <w:rsid w:val="5CEC7157"/>
    <w:rsid w:val="5D045FFD"/>
    <w:rsid w:val="5DDF117C"/>
    <w:rsid w:val="5F1D24CE"/>
    <w:rsid w:val="5F630463"/>
    <w:rsid w:val="65265113"/>
    <w:rsid w:val="65E57895"/>
    <w:rsid w:val="6602326A"/>
    <w:rsid w:val="68A23D9A"/>
    <w:rsid w:val="69E7776E"/>
    <w:rsid w:val="6A50293B"/>
    <w:rsid w:val="6AA14535"/>
    <w:rsid w:val="6ACC2680"/>
    <w:rsid w:val="6B80006E"/>
    <w:rsid w:val="6BB74550"/>
    <w:rsid w:val="6CF30DA6"/>
    <w:rsid w:val="6DD15131"/>
    <w:rsid w:val="713A657B"/>
    <w:rsid w:val="7266072A"/>
    <w:rsid w:val="72AC65F9"/>
    <w:rsid w:val="72AF5315"/>
    <w:rsid w:val="730B15A2"/>
    <w:rsid w:val="73EA2AA9"/>
    <w:rsid w:val="74055651"/>
    <w:rsid w:val="75B8118B"/>
    <w:rsid w:val="774A4416"/>
    <w:rsid w:val="7B49325B"/>
    <w:rsid w:val="7BFC15FE"/>
    <w:rsid w:val="7C4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3"/>
    <w:semiHidden/>
    <w:unhideWhenUsed/>
    <w:qFormat/>
    <w:uiPriority w:val="99"/>
    <w:rPr>
      <w:rFonts w:ascii="宋体" w:hAnsi="Courier New" w:eastAsia="宋体" w:cs="Times New Roman"/>
      <w:szCs w:val="20"/>
    </w:rPr>
  </w:style>
  <w:style w:type="paragraph" w:styleId="11">
    <w:name w:val="footer"/>
    <w:basedOn w:val="1"/>
    <w:link w:val="22"/>
    <w:semiHidden/>
    <w:unhideWhenUsed/>
    <w:qFormat/>
    <w:uiPriority w:val="99"/>
    <w:pPr>
      <w:tabs>
        <w:tab w:val="center" w:pos="4153"/>
        <w:tab w:val="right" w:pos="8306"/>
      </w:tabs>
      <w:snapToGrid w:val="0"/>
      <w:jc w:val="left"/>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customStyle="1" w:styleId="21">
    <w:name w:val="页眉 Char"/>
    <w:basedOn w:val="19"/>
    <w:link w:val="12"/>
    <w:autoRedefine/>
    <w:semiHidden/>
    <w:qFormat/>
    <w:uiPriority w:val="99"/>
    <w:rPr>
      <w:sz w:val="18"/>
      <w:szCs w:val="18"/>
    </w:rPr>
  </w:style>
  <w:style w:type="character" w:customStyle="1" w:styleId="22">
    <w:name w:val="页脚 Char"/>
    <w:basedOn w:val="19"/>
    <w:link w:val="11"/>
    <w:semiHidden/>
    <w:qFormat/>
    <w:uiPriority w:val="99"/>
    <w:rPr>
      <w:sz w:val="18"/>
      <w:szCs w:val="18"/>
    </w:rPr>
  </w:style>
  <w:style w:type="character" w:customStyle="1" w:styleId="23">
    <w:name w:val="纯文本 Char"/>
    <w:basedOn w:val="19"/>
    <w:link w:val="10"/>
    <w:semiHidden/>
    <w:qFormat/>
    <w:uiPriority w:val="99"/>
    <w:rPr>
      <w:rFonts w:ascii="宋体" w:hAnsi="Courier New" w:eastAsia="宋体" w:cs="Times New Roman"/>
      <w:szCs w:val="20"/>
    </w:rPr>
  </w:style>
  <w:style w:type="character" w:customStyle="1" w:styleId="24">
    <w:name w:val="font11"/>
    <w:basedOn w:val="19"/>
    <w:qFormat/>
    <w:uiPriority w:val="0"/>
    <w:rPr>
      <w:rFonts w:hint="eastAsia" w:ascii="宋体" w:hAnsi="宋体" w:eastAsia="宋体" w:cs="宋体"/>
      <w:color w:val="000000"/>
      <w:sz w:val="30"/>
      <w:szCs w:val="30"/>
      <w:u w:val="none"/>
    </w:rPr>
  </w:style>
  <w:style w:type="paragraph" w:styleId="25">
    <w:name w:val="List Paragraph"/>
    <w:basedOn w:val="1"/>
    <w:autoRedefine/>
    <w:qFormat/>
    <w:uiPriority w:val="34"/>
    <w:pPr>
      <w:ind w:firstLine="420" w:firstLineChars="200"/>
    </w:pPr>
    <w:rPr>
      <w:rFonts w:ascii="Calibri" w:hAnsi="Calibri"/>
      <w:szCs w:val="22"/>
    </w:rPr>
  </w:style>
  <w:style w:type="table" w:customStyle="1" w:styleId="26">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8">
    <w:name w:val="列出段落1"/>
    <w:basedOn w:val="1"/>
    <w:autoRedefine/>
    <w:qFormat/>
    <w:uiPriority w:val="34"/>
    <w:pPr>
      <w:ind w:firstLine="420" w:firstLineChars="200"/>
    </w:pPr>
  </w:style>
  <w:style w:type="paragraph" w:customStyle="1" w:styleId="29">
    <w:name w:val="样式1 Char Char"/>
    <w:basedOn w:val="1"/>
    <w:next w:val="10"/>
    <w:qFormat/>
    <w:uiPriority w:val="0"/>
    <w:pPr>
      <w:spacing w:line="360" w:lineRule="auto"/>
      <w:ind w:firstLine="516" w:firstLineChars="215"/>
    </w:pPr>
    <w:rPr>
      <w:sz w:val="24"/>
    </w:rPr>
  </w:style>
  <w:style w:type="paragraph" w:customStyle="1" w:styleId="30">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1">
    <w:name w:val="font21"/>
    <w:basedOn w:val="19"/>
    <w:qFormat/>
    <w:uiPriority w:val="0"/>
    <w:rPr>
      <w:rFonts w:hint="eastAsia" w:ascii="宋体" w:hAnsi="宋体" w:eastAsia="宋体" w:cs="宋体"/>
      <w:color w:val="000000"/>
      <w:sz w:val="20"/>
      <w:szCs w:val="20"/>
      <w:u w:val="none"/>
    </w:rPr>
  </w:style>
  <w:style w:type="character" w:customStyle="1" w:styleId="32">
    <w:name w:val="font31"/>
    <w:basedOn w:val="19"/>
    <w:qFormat/>
    <w:uiPriority w:val="0"/>
    <w:rPr>
      <w:rFonts w:ascii="Tahoma" w:hAnsi="Tahoma" w:eastAsia="Tahoma" w:cs="Tahoma"/>
      <w:color w:val="000000"/>
      <w:sz w:val="20"/>
      <w:szCs w:val="20"/>
      <w:u w:val="none"/>
    </w:rPr>
  </w:style>
  <w:style w:type="paragraph" w:customStyle="1" w:styleId="33">
    <w:name w:val="*正文"/>
    <w:basedOn w:val="1"/>
    <w:qFormat/>
    <w:uiPriority w:val="0"/>
    <w:pPr>
      <w:spacing w:line="360" w:lineRule="auto"/>
      <w:ind w:firstLine="200" w:firstLineChars="200"/>
    </w:pPr>
    <w:rPr>
      <w:rFonts w:ascii="宋体" w:hAnsi="宋体"/>
      <w:kern w:val="0"/>
      <w:sz w:val="22"/>
      <w:szCs w:val="24"/>
    </w:rPr>
  </w:style>
  <w:style w:type="character" w:customStyle="1" w:styleId="34">
    <w:name w:val="10"/>
    <w:basedOn w:val="19"/>
    <w:qFormat/>
    <w:uiPriority w:val="0"/>
    <w:rPr>
      <w:rFonts w:hint="default" w:ascii="Times New Roman" w:hAnsi="Times New Roman" w:cs="Times New Roman"/>
    </w:rPr>
  </w:style>
  <w:style w:type="character" w:customStyle="1" w:styleId="35">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11314</Words>
  <Characters>12202</Characters>
  <Lines>1</Lines>
  <Paragraphs>1</Paragraphs>
  <TotalTime>1</TotalTime>
  <ScaleCrop>false</ScaleCrop>
  <LinksUpToDate>false</LinksUpToDate>
  <CharactersWithSpaces>12364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2026-01-27T02:51:40Z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1A7B86811E6E4AD681994A8E13AC3A43_13</vt:lpwstr>
  </property>
  <property fmtid="{D5CDD505-2E9C-101B-9397-08002B2CF9AE}" pid="4" name="KSOTemplateDocerSaveRecord">
    <vt:lpwstr>eyJoZGlkIjoiM2EyNDYyYmQ1ZDA0NDE2ZWMxMTVjMTBjNjZlNGMxZWMiLCJ1c2VySWQiOiIxOTQ5NzkyNTQifQ==</vt:lpwstr>
  </property>
</Properties>
</file>